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6</w:t>
      </w:r>
    </w:p>
    <w:tbl>
      <w:tblPr>
        <w:tblStyle w:val="2"/>
        <w:tblW w:w="95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80"/>
        <w:gridCol w:w="6204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</w:rPr>
              <w:t>遵义医科大学微课教学比赛评分标准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64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一级指标(分值)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指标说明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（分值）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教学设计与课件    （15分）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材料完整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包括微课视频、教学设计方案、教学课件，缺一项即0分。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围绕立德树人根本任务，结合课程特点选题，主题围绕一个知识点或主要教学问题。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教学课件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课件制作有创意，内容简明，编排层次分明，文字和图片等清晰美观。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教学视频（85分）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视频常规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片长在5-15分钟间；视频片头应显示标题、作者和单位名称，主要教学内容应配有字幕提示；在视频中所使用文字、符号、单位和公式要符合国家标准。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视频音像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构视频图合理，图像、声音清晰、稳定；兼容性好。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教学目标明确、具体，教学思路清晰；能够解决教学内容中的难点、重点、个性化教学等问题，提高教学效率。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教学内容取舍恰当、表述准确，无科学性、导向性错误，能理论联系实际，反映社会和学科发展，能确保教学目标的实现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教学过程安排合理，方法运用灵活、恰当，突出学生主体地位，体现“做中学，做中教”，教学活动流畅、合理，调动学生参与积极性，合理选用信息技术、教学资源和教学设施，板书情况。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教学呈现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教学导入简短顺畅，能促进学生理解、记忆及掌握；教学内容能激发学生学习的动机；教学具有启发性，指导性，有助于学生建构或巩固知识。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教师素养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教师须出镜，要求仪表端庄，教态亲切自然大方，展现良好教学风貌；普通话讲解，语言清晰生动，表达流畅；教学节奏能适应学生学习需要，且具有较强感染力。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620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已经在课程教学中应用并取得较好的教学效果。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620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6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意见与建议：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64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4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专家签名：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5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评价时间：</w:t>
            </w:r>
          </w:p>
        </w:tc>
      </w:tr>
    </w:tbl>
    <w:p>
      <w:pPr>
        <w:rPr>
          <w:rFonts w:ascii="黑体" w:hAnsi="宋体" w:eastAsia="黑体"/>
          <w:b/>
          <w:sz w:val="44"/>
          <w:szCs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ODgzMDRmODIwY2RhNjhkZjQ3N2M1NjExOTk3NDMifQ=="/>
    <w:docVar w:name="KSO_WPS_MARK_KEY" w:val="9630ea4f-d9c2-48f8-8b52-68c8cba6b6f7"/>
  </w:docVars>
  <w:rsids>
    <w:rsidRoot w:val="000D10AD"/>
    <w:rsid w:val="0006355A"/>
    <w:rsid w:val="000D10AD"/>
    <w:rsid w:val="004177FC"/>
    <w:rsid w:val="00C95525"/>
    <w:rsid w:val="00CB4474"/>
    <w:rsid w:val="20FF332E"/>
    <w:rsid w:val="243C0D71"/>
    <w:rsid w:val="487C5FBB"/>
    <w:rsid w:val="7B5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690</Words>
  <Characters>701</Characters>
  <Lines>6</Lines>
  <Paragraphs>1</Paragraphs>
  <TotalTime>3</TotalTime>
  <ScaleCrop>false</ScaleCrop>
  <LinksUpToDate>false</LinksUpToDate>
  <CharactersWithSpaces>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2021-06-07T02:44:00Z</dcterms:created>
  <dc:creator>李婧睿</dc:creator>
  <cp:lastModifiedBy>Summer</cp:lastModifiedBy>
  <dcterms:modified xsi:type="dcterms:W3CDTF">2024-11-11T09:28:15Z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1139D4794B0C49C6B245D7A4DBE0E7CE_13</vt:lpwstr>
  </property>
</Properties>
</file>