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8388D">
      <w:pPr>
        <w:rPr>
          <w:rFonts w:ascii="Times New Roman" w:hAnsi="Times New Roman"/>
        </w:rPr>
      </w:pPr>
    </w:p>
    <w:tbl>
      <w:tblPr>
        <w:tblStyle w:val="8"/>
        <w:tblW w:w="8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8"/>
        <w:gridCol w:w="2721"/>
        <w:gridCol w:w="1599"/>
        <w:gridCol w:w="2423"/>
      </w:tblGrid>
      <w:tr w14:paraId="086C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549" w:type="dxa"/>
            <w:gridSpan w:val="2"/>
            <w:vMerge w:val="restart"/>
            <w:shd w:val="clear" w:color="auto" w:fill="auto"/>
            <w:vAlign w:val="center"/>
          </w:tcPr>
          <w:p w14:paraId="72FCD746">
            <w:pPr>
              <w:pStyle w:val="21"/>
              <w:spacing w:before="0"/>
              <w:ind w:right="0"/>
              <w:rPr>
                <w:rFonts w:hint="eastAsia" w:ascii="Times New Roman" w:hAnsi="Times New Roman" w:eastAsia="黑体"/>
                <w:sz w:val="24"/>
                <w:lang w:eastAsia="zh-CN"/>
              </w:rPr>
            </w:pPr>
            <w:r>
              <w:rPr>
                <w:rFonts w:hint="eastAsia" w:ascii="Times New Roman" w:hAnsi="Times New Roman"/>
                <w:sz w:val="24"/>
                <w:lang w:val="en-US"/>
              </w:rPr>
              <w:t>遵医二附院</w:t>
            </w:r>
            <w:r>
              <w:rPr>
                <w:rFonts w:hint="eastAsia" w:ascii="Times New Roman" w:hAnsi="Times New Roman"/>
                <w:sz w:val="24"/>
                <w:lang w:val="en-US" w:eastAsia="zh-CN"/>
              </w:rPr>
              <w:t xml:space="preserve"> </w:t>
            </w:r>
            <w:r>
              <w:rPr>
                <w:rFonts w:hint="eastAsia" w:ascii="Times New Roman" w:hAnsi="Times New Roman"/>
                <w:sz w:val="24"/>
              </w:rPr>
              <w:t>伦理</w:t>
            </w:r>
            <w:r>
              <w:rPr>
                <w:rFonts w:hint="eastAsia" w:ascii="Times New Roman" w:hAnsi="Times New Roman"/>
                <w:sz w:val="24"/>
                <w:lang w:val="en-US" w:eastAsia="zh-CN"/>
              </w:rPr>
              <w:t>审查</w:t>
            </w:r>
            <w:r>
              <w:rPr>
                <w:rFonts w:hint="eastAsia" w:ascii="Times New Roman" w:hAnsi="Times New Roman"/>
                <w:sz w:val="24"/>
              </w:rPr>
              <w:t>委员会</w:t>
            </w:r>
            <w:r>
              <w:rPr>
                <w:rFonts w:hint="eastAsia" w:ascii="Times New Roman" w:hAnsi="Times New Roman"/>
                <w:sz w:val="24"/>
                <w:lang w:eastAsia="zh-CN"/>
              </w:rPr>
              <w:t>（</w:t>
            </w:r>
            <w:r>
              <w:rPr>
                <w:rFonts w:hint="eastAsia" w:ascii="Times New Roman" w:hAnsi="Times New Roman"/>
                <w:sz w:val="24"/>
                <w:lang w:val="en-US" w:eastAsia="zh-CN"/>
              </w:rPr>
              <w:t>临床试验</w:t>
            </w:r>
            <w:r>
              <w:rPr>
                <w:rFonts w:hint="eastAsia" w:ascii="Times New Roman" w:hAnsi="Times New Roman"/>
                <w:sz w:val="24"/>
                <w:lang w:eastAsia="zh-CN"/>
              </w:rPr>
              <w:t>）</w:t>
            </w:r>
          </w:p>
          <w:p w14:paraId="6CE99B39">
            <w:pPr>
              <w:pStyle w:val="21"/>
              <w:spacing w:before="0"/>
              <w:ind w:right="0"/>
              <w:rPr>
                <w:rFonts w:ascii="Times New Roman" w:hAnsi="Times New Roman" w:cs="Tahoma"/>
                <w:b/>
                <w:kern w:val="0"/>
                <w:sz w:val="28"/>
                <w:szCs w:val="28"/>
                <w:lang w:val="en-US"/>
              </w:rPr>
            </w:pPr>
            <w:r>
              <w:rPr>
                <w:rFonts w:hint="eastAsia" w:ascii="Times New Roman" w:hAnsi="Times New Roman"/>
                <w:sz w:val="24"/>
              </w:rPr>
              <w:t>——</w:t>
            </w:r>
            <w:r>
              <w:rPr>
                <w:rFonts w:hint="eastAsia" w:ascii="Times New Roman" w:hAnsi="Times New Roman"/>
                <w:sz w:val="24"/>
                <w:lang w:val="en-US"/>
              </w:rPr>
              <w:t xml:space="preserve"> 指南 </w:t>
            </w:r>
          </w:p>
        </w:tc>
        <w:tc>
          <w:tcPr>
            <w:tcW w:w="1599" w:type="dxa"/>
            <w:shd w:val="clear" w:color="auto" w:fill="auto"/>
            <w:vAlign w:val="center"/>
          </w:tcPr>
          <w:p w14:paraId="2101C9FB">
            <w:pPr>
              <w:pStyle w:val="21"/>
              <w:spacing w:before="31"/>
              <w:ind w:left="197" w:right="185"/>
              <w:rPr>
                <w:rFonts w:ascii="Times New Roman" w:hAnsi="Times New Roman"/>
              </w:rPr>
            </w:pPr>
            <w:r>
              <w:rPr>
                <w:rFonts w:ascii="Times New Roman" w:hAnsi="Times New Roman"/>
                <w:sz w:val="20"/>
              </w:rPr>
              <w:t>文件编号</w:t>
            </w:r>
          </w:p>
        </w:tc>
        <w:tc>
          <w:tcPr>
            <w:tcW w:w="2423" w:type="dxa"/>
            <w:shd w:val="clear" w:color="auto" w:fill="auto"/>
            <w:vAlign w:val="center"/>
          </w:tcPr>
          <w:p w14:paraId="630D250C">
            <w:pPr>
              <w:widowControl/>
              <w:spacing w:before="100" w:beforeAutospacing="1" w:after="100" w:afterAutospacing="1" w:line="320" w:lineRule="exact"/>
              <w:jc w:val="center"/>
              <w:rPr>
                <w:rFonts w:ascii="Times New Roman" w:hAnsi="Times New Roman"/>
                <w:b/>
                <w:kern w:val="0"/>
                <w:sz w:val="28"/>
                <w:szCs w:val="28"/>
              </w:rPr>
            </w:pPr>
            <w:r>
              <w:rPr>
                <w:rFonts w:ascii="Times New Roman" w:hAnsi="Times New Roman"/>
                <w:sz w:val="20"/>
              </w:rPr>
              <w:t>IRB-SQ-0</w:t>
            </w:r>
            <w:r>
              <w:rPr>
                <w:rFonts w:hint="eastAsia" w:ascii="Times New Roman" w:hAnsi="Times New Roman"/>
                <w:sz w:val="20"/>
              </w:rPr>
              <w:t>1</w:t>
            </w:r>
            <w:r>
              <w:rPr>
                <w:rFonts w:ascii="Times New Roman" w:hAnsi="Times New Roman"/>
                <w:sz w:val="20"/>
              </w:rPr>
              <w:t>.01/03.</w:t>
            </w:r>
            <w:r>
              <w:rPr>
                <w:rFonts w:hint="eastAsia" w:ascii="Times New Roman" w:hAnsi="Times New Roman"/>
                <w:sz w:val="20"/>
                <w:lang w:val="en-US" w:eastAsia="zh-CN"/>
              </w:rPr>
              <w:t>2</w:t>
            </w:r>
          </w:p>
        </w:tc>
      </w:tr>
      <w:tr w14:paraId="2DE2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549" w:type="dxa"/>
            <w:gridSpan w:val="2"/>
            <w:vMerge w:val="continue"/>
            <w:shd w:val="clear" w:color="auto" w:fill="auto"/>
          </w:tcPr>
          <w:p w14:paraId="2277ACC3">
            <w:pPr>
              <w:widowControl/>
              <w:spacing w:before="100" w:beforeAutospacing="1" w:after="100" w:afterAutospacing="1" w:line="320" w:lineRule="exact"/>
              <w:jc w:val="center"/>
              <w:rPr>
                <w:rFonts w:ascii="Times New Roman" w:hAnsi="Times New Roman" w:cs="Tahoma"/>
                <w:b/>
                <w:kern w:val="0"/>
                <w:sz w:val="28"/>
                <w:szCs w:val="28"/>
              </w:rPr>
            </w:pPr>
          </w:p>
        </w:tc>
        <w:tc>
          <w:tcPr>
            <w:tcW w:w="1599" w:type="dxa"/>
            <w:shd w:val="clear" w:color="auto" w:fill="auto"/>
            <w:vAlign w:val="center"/>
          </w:tcPr>
          <w:p w14:paraId="0FF2A34E">
            <w:pPr>
              <w:pStyle w:val="21"/>
              <w:spacing w:before="3"/>
              <w:ind w:left="197" w:right="182"/>
              <w:rPr>
                <w:rFonts w:ascii="Times New Roman" w:hAnsi="Times New Roman"/>
              </w:rPr>
            </w:pPr>
            <w:r>
              <w:rPr>
                <w:rFonts w:ascii="Times New Roman" w:hAnsi="Times New Roman"/>
                <w:sz w:val="20"/>
              </w:rPr>
              <w:t>版本号</w:t>
            </w:r>
          </w:p>
        </w:tc>
        <w:tc>
          <w:tcPr>
            <w:tcW w:w="2423" w:type="dxa"/>
            <w:shd w:val="clear" w:color="auto" w:fill="auto"/>
            <w:vAlign w:val="center"/>
          </w:tcPr>
          <w:p w14:paraId="033AD2B3">
            <w:pPr>
              <w:pStyle w:val="21"/>
              <w:spacing w:before="3"/>
              <w:ind w:left="107" w:right="96"/>
              <w:rPr>
                <w:rFonts w:ascii="Times New Roman" w:hAnsi="Times New Roman" w:cs="Times New Roman"/>
                <w:b/>
                <w:kern w:val="0"/>
                <w:sz w:val="28"/>
                <w:szCs w:val="28"/>
                <w:lang w:val="en-US"/>
              </w:rPr>
            </w:pPr>
            <w:r>
              <w:rPr>
                <w:rFonts w:ascii="Times New Roman" w:hAnsi="Times New Roman" w:cs="Times New Roman"/>
                <w:sz w:val="20"/>
                <w:lang w:val="en-US"/>
              </w:rPr>
              <w:t>03.</w:t>
            </w:r>
            <w:r>
              <w:rPr>
                <w:rFonts w:hint="eastAsia" w:ascii="Times New Roman" w:hAnsi="Times New Roman" w:cs="Times New Roman"/>
                <w:sz w:val="20"/>
                <w:lang w:val="en-US" w:eastAsia="zh-CN"/>
              </w:rPr>
              <w:t>2</w:t>
            </w:r>
          </w:p>
        </w:tc>
      </w:tr>
      <w:tr w14:paraId="33BE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828" w:type="dxa"/>
            <w:shd w:val="clear" w:color="auto" w:fill="auto"/>
            <w:vAlign w:val="center"/>
          </w:tcPr>
          <w:p w14:paraId="3BAE84B6">
            <w:pPr>
              <w:jc w:val="center"/>
              <w:rPr>
                <w:rFonts w:ascii="Times New Roman" w:hAnsi="Times New Roman" w:cs="Tahoma"/>
                <w:b/>
                <w:kern w:val="0"/>
                <w:sz w:val="28"/>
                <w:szCs w:val="28"/>
              </w:rPr>
            </w:pPr>
            <w:r>
              <w:rPr>
                <w:rFonts w:hint="eastAsia" w:ascii="Times New Roman" w:hAnsi="Times New Roman" w:eastAsia="黑体" w:cs="黑体"/>
                <w:sz w:val="20"/>
                <w:szCs w:val="22"/>
                <w:lang w:bidi="zh-CN"/>
              </w:rPr>
              <w:t>编写者</w:t>
            </w:r>
          </w:p>
        </w:tc>
        <w:tc>
          <w:tcPr>
            <w:tcW w:w="2721" w:type="dxa"/>
            <w:shd w:val="clear" w:color="auto" w:fill="auto"/>
            <w:vAlign w:val="center"/>
          </w:tcPr>
          <w:p w14:paraId="4FD19094">
            <w:pPr>
              <w:widowControl/>
              <w:spacing w:before="100" w:beforeAutospacing="1" w:after="100" w:afterAutospacing="1" w:line="320" w:lineRule="exact"/>
              <w:jc w:val="center"/>
              <w:rPr>
                <w:rFonts w:ascii="Times New Roman" w:hAnsi="Times New Roman" w:cs="Tahoma"/>
                <w:b/>
                <w:kern w:val="0"/>
                <w:sz w:val="28"/>
                <w:szCs w:val="28"/>
              </w:rPr>
            </w:pPr>
          </w:p>
        </w:tc>
        <w:tc>
          <w:tcPr>
            <w:tcW w:w="1599" w:type="dxa"/>
            <w:shd w:val="clear" w:color="auto" w:fill="auto"/>
            <w:vAlign w:val="center"/>
          </w:tcPr>
          <w:p w14:paraId="5E8CBE00">
            <w:pPr>
              <w:jc w:val="center"/>
              <w:rPr>
                <w:rFonts w:ascii="Times New Roman" w:hAnsi="Times New Roman"/>
              </w:rPr>
            </w:pPr>
            <w:r>
              <w:rPr>
                <w:rFonts w:hint="eastAsia" w:ascii="Times New Roman" w:hAnsi="Times New Roman" w:eastAsia="黑体" w:cs="黑体"/>
                <w:sz w:val="20"/>
                <w:szCs w:val="22"/>
                <w:lang w:val="en-US" w:bidi="zh-CN"/>
              </w:rPr>
              <w:t>起草</w:t>
            </w:r>
            <w:r>
              <w:rPr>
                <w:rFonts w:hint="eastAsia" w:ascii="Times New Roman" w:hAnsi="Times New Roman" w:eastAsia="黑体" w:cs="黑体"/>
                <w:sz w:val="20"/>
                <w:szCs w:val="22"/>
                <w:lang w:bidi="zh-CN"/>
              </w:rPr>
              <w:t>日期</w:t>
            </w:r>
          </w:p>
        </w:tc>
        <w:tc>
          <w:tcPr>
            <w:tcW w:w="2423" w:type="dxa"/>
            <w:shd w:val="clear" w:color="auto" w:fill="auto"/>
            <w:vAlign w:val="center"/>
          </w:tcPr>
          <w:p w14:paraId="684F9C3F">
            <w:pPr>
              <w:jc w:val="center"/>
              <w:rPr>
                <w:rFonts w:ascii="Times New Roman" w:hAnsi="Times New Roman"/>
                <w:b/>
                <w:kern w:val="0"/>
                <w:sz w:val="28"/>
                <w:szCs w:val="28"/>
              </w:rPr>
            </w:pPr>
          </w:p>
        </w:tc>
      </w:tr>
      <w:tr w14:paraId="1C07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828" w:type="dxa"/>
            <w:shd w:val="clear" w:color="auto" w:fill="auto"/>
            <w:vAlign w:val="center"/>
          </w:tcPr>
          <w:p w14:paraId="6A6E069F">
            <w:pPr>
              <w:jc w:val="center"/>
              <w:rPr>
                <w:rFonts w:ascii="Times New Roman" w:hAnsi="Times New Roman" w:cs="Tahoma"/>
                <w:b/>
                <w:kern w:val="0"/>
                <w:sz w:val="28"/>
                <w:szCs w:val="28"/>
              </w:rPr>
            </w:pPr>
            <w:r>
              <w:rPr>
                <w:rFonts w:hint="eastAsia" w:ascii="Times New Roman" w:hAnsi="Times New Roman" w:eastAsia="黑体" w:cs="黑体"/>
                <w:sz w:val="20"/>
                <w:szCs w:val="22"/>
                <w:lang w:bidi="zh-CN"/>
              </w:rPr>
              <w:t>审核者</w:t>
            </w:r>
          </w:p>
        </w:tc>
        <w:tc>
          <w:tcPr>
            <w:tcW w:w="2721" w:type="dxa"/>
            <w:shd w:val="clear" w:color="auto" w:fill="auto"/>
            <w:vAlign w:val="center"/>
          </w:tcPr>
          <w:p w14:paraId="062E3108">
            <w:pPr>
              <w:widowControl/>
              <w:spacing w:before="100" w:beforeAutospacing="1" w:after="100" w:afterAutospacing="1" w:line="320" w:lineRule="exact"/>
              <w:jc w:val="center"/>
              <w:rPr>
                <w:rFonts w:ascii="Times New Roman" w:hAnsi="Times New Roman" w:cs="Tahoma"/>
                <w:b/>
                <w:kern w:val="0"/>
                <w:sz w:val="28"/>
                <w:szCs w:val="28"/>
              </w:rPr>
            </w:pPr>
          </w:p>
        </w:tc>
        <w:tc>
          <w:tcPr>
            <w:tcW w:w="1599" w:type="dxa"/>
            <w:shd w:val="clear" w:color="auto" w:fill="auto"/>
            <w:vAlign w:val="center"/>
          </w:tcPr>
          <w:p w14:paraId="0D3FBF62">
            <w:pPr>
              <w:jc w:val="center"/>
              <w:rPr>
                <w:rFonts w:ascii="Times New Roman" w:hAnsi="Times New Roman"/>
              </w:rPr>
            </w:pPr>
            <w:r>
              <w:rPr>
                <w:rFonts w:hint="eastAsia" w:ascii="Times New Roman" w:hAnsi="Times New Roman" w:eastAsia="黑体" w:cs="黑体"/>
                <w:sz w:val="20"/>
                <w:szCs w:val="22"/>
                <w:lang w:val="en-US" w:bidi="zh-CN"/>
              </w:rPr>
              <w:t>审核</w:t>
            </w:r>
            <w:r>
              <w:rPr>
                <w:rFonts w:hint="eastAsia" w:ascii="Times New Roman" w:hAnsi="Times New Roman" w:eastAsia="黑体" w:cs="黑体"/>
                <w:sz w:val="20"/>
                <w:szCs w:val="22"/>
                <w:lang w:bidi="zh-CN"/>
              </w:rPr>
              <w:t>日期</w:t>
            </w:r>
          </w:p>
        </w:tc>
        <w:tc>
          <w:tcPr>
            <w:tcW w:w="2423" w:type="dxa"/>
            <w:shd w:val="clear" w:color="auto" w:fill="auto"/>
            <w:vAlign w:val="center"/>
          </w:tcPr>
          <w:p w14:paraId="3FBE93AC">
            <w:pPr>
              <w:widowControl/>
              <w:spacing w:before="100" w:beforeAutospacing="1" w:after="100" w:afterAutospacing="1" w:line="320" w:lineRule="exact"/>
              <w:jc w:val="center"/>
              <w:rPr>
                <w:rFonts w:ascii="Times New Roman" w:hAnsi="Times New Roman" w:cs="Tahoma"/>
                <w:b/>
                <w:kern w:val="0"/>
                <w:sz w:val="28"/>
                <w:szCs w:val="28"/>
              </w:rPr>
            </w:pPr>
          </w:p>
        </w:tc>
      </w:tr>
      <w:tr w14:paraId="12892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28" w:type="dxa"/>
            <w:shd w:val="clear" w:color="auto" w:fill="auto"/>
            <w:vAlign w:val="center"/>
          </w:tcPr>
          <w:p w14:paraId="0747CCDB">
            <w:pPr>
              <w:jc w:val="center"/>
              <w:rPr>
                <w:rFonts w:ascii="Times New Roman" w:hAnsi="Times New Roman" w:cs="Tahoma"/>
                <w:b/>
                <w:kern w:val="0"/>
                <w:sz w:val="28"/>
                <w:szCs w:val="28"/>
              </w:rPr>
            </w:pPr>
            <w:r>
              <w:rPr>
                <w:rFonts w:hint="eastAsia" w:ascii="Times New Roman" w:hAnsi="Times New Roman" w:eastAsia="黑体" w:cs="黑体"/>
                <w:sz w:val="20"/>
                <w:szCs w:val="22"/>
                <w:lang w:bidi="zh-CN"/>
              </w:rPr>
              <w:t>批准者</w:t>
            </w:r>
          </w:p>
        </w:tc>
        <w:tc>
          <w:tcPr>
            <w:tcW w:w="2721" w:type="dxa"/>
            <w:shd w:val="clear" w:color="auto" w:fill="auto"/>
            <w:vAlign w:val="center"/>
          </w:tcPr>
          <w:p w14:paraId="4E9C9B3A">
            <w:pPr>
              <w:widowControl/>
              <w:spacing w:before="100" w:beforeAutospacing="1" w:after="100" w:afterAutospacing="1" w:line="320" w:lineRule="exact"/>
              <w:jc w:val="center"/>
              <w:rPr>
                <w:rFonts w:ascii="Times New Roman" w:hAnsi="Times New Roman" w:cs="Tahoma"/>
                <w:b/>
                <w:kern w:val="0"/>
                <w:sz w:val="28"/>
                <w:szCs w:val="28"/>
              </w:rPr>
            </w:pPr>
          </w:p>
        </w:tc>
        <w:tc>
          <w:tcPr>
            <w:tcW w:w="1599" w:type="dxa"/>
            <w:shd w:val="clear" w:color="auto" w:fill="auto"/>
            <w:vAlign w:val="center"/>
          </w:tcPr>
          <w:p w14:paraId="11C3521C">
            <w:pPr>
              <w:jc w:val="center"/>
              <w:rPr>
                <w:rFonts w:ascii="Times New Roman" w:hAnsi="Times New Roman"/>
              </w:rPr>
            </w:pPr>
            <w:r>
              <w:rPr>
                <w:rFonts w:hint="eastAsia" w:ascii="Times New Roman" w:hAnsi="Times New Roman" w:eastAsia="黑体" w:cs="黑体"/>
                <w:sz w:val="20"/>
                <w:szCs w:val="22"/>
                <w:lang w:bidi="zh-CN"/>
              </w:rPr>
              <w:t>生效日期</w:t>
            </w:r>
          </w:p>
        </w:tc>
        <w:tc>
          <w:tcPr>
            <w:tcW w:w="2423" w:type="dxa"/>
            <w:shd w:val="clear" w:color="auto" w:fill="auto"/>
            <w:vAlign w:val="center"/>
          </w:tcPr>
          <w:p w14:paraId="037CA2D6">
            <w:pPr>
              <w:widowControl/>
              <w:spacing w:before="100" w:beforeAutospacing="1" w:after="100" w:afterAutospacing="1" w:line="320" w:lineRule="exact"/>
              <w:jc w:val="center"/>
              <w:rPr>
                <w:rFonts w:ascii="Times New Roman" w:hAnsi="Times New Roman" w:cs="Tahoma"/>
                <w:b/>
                <w:kern w:val="0"/>
                <w:sz w:val="28"/>
                <w:szCs w:val="28"/>
              </w:rPr>
            </w:pPr>
          </w:p>
        </w:tc>
      </w:tr>
    </w:tbl>
    <w:p w14:paraId="6C82431D">
      <w:pPr>
        <w:spacing w:line="360" w:lineRule="auto"/>
        <w:rPr>
          <w:rFonts w:ascii="Times New Roman" w:hAnsi="Times New Roman" w:eastAsia="黑体"/>
          <w:szCs w:val="21"/>
        </w:rPr>
      </w:pPr>
    </w:p>
    <w:p w14:paraId="4668132E">
      <w:pPr>
        <w:pStyle w:val="22"/>
        <w:spacing w:before="174" w:after="174"/>
        <w:rPr>
          <w:rFonts w:hint="default" w:ascii="Times New Roman" w:hAnsi="Times New Roman"/>
        </w:rPr>
      </w:pPr>
      <w:r>
        <w:rPr>
          <w:rFonts w:ascii="Times New Roman" w:hAnsi="Times New Roman"/>
        </w:rPr>
        <w:t>伦理审查申请/报告指南</w:t>
      </w:r>
    </w:p>
    <w:p w14:paraId="522B7B9C">
      <w:pPr>
        <w:pStyle w:val="19"/>
        <w:spacing w:line="440" w:lineRule="exact"/>
        <w:jc w:val="center"/>
        <w:rPr>
          <w:rFonts w:ascii="Times New Roman" w:hAnsi="Times New Roman" w:eastAsia="黑体"/>
          <w:sz w:val="24"/>
          <w:szCs w:val="24"/>
        </w:rPr>
      </w:pPr>
    </w:p>
    <w:p w14:paraId="179117E7">
      <w:pPr>
        <w:pStyle w:val="19"/>
        <w:spacing w:line="440" w:lineRule="exact"/>
        <w:ind w:firstLine="420" w:firstLineChars="200"/>
        <w:jc w:val="left"/>
        <w:rPr>
          <w:rFonts w:ascii="Times New Roman" w:hAnsi="Times New Roman"/>
        </w:rPr>
      </w:pPr>
      <w:r>
        <w:rPr>
          <w:rFonts w:hint="eastAsia" w:ascii="Times New Roman" w:hAnsi="Times New Roman"/>
        </w:rPr>
        <w:t>为指导主要研究者</w:t>
      </w:r>
      <w:r>
        <w:rPr>
          <w:rFonts w:ascii="Times New Roman" w:hAnsi="Times New Roman"/>
        </w:rPr>
        <w:t>/</w:t>
      </w:r>
      <w:r>
        <w:rPr>
          <w:rFonts w:hint="eastAsia" w:ascii="Times New Roman" w:hAnsi="Times New Roman"/>
        </w:rPr>
        <w:t>申办者提交药物临床试验伦理审查申请</w:t>
      </w:r>
      <w:r>
        <w:rPr>
          <w:rFonts w:ascii="Times New Roman" w:hAnsi="Times New Roman"/>
        </w:rPr>
        <w:t>/</w:t>
      </w:r>
      <w:r>
        <w:rPr>
          <w:rFonts w:hint="eastAsia" w:ascii="Times New Roman" w:hAnsi="Times New Roman"/>
        </w:rPr>
        <w:t>报告，特制定本指南。</w:t>
      </w:r>
    </w:p>
    <w:p w14:paraId="3E2AB024">
      <w:pPr>
        <w:pStyle w:val="13"/>
        <w:spacing w:before="174"/>
        <w:ind w:firstLine="480"/>
        <w:rPr>
          <w:rFonts w:hint="default" w:ascii="Times New Roman" w:hAnsi="Times New Roman"/>
        </w:rPr>
      </w:pPr>
      <w:r>
        <w:rPr>
          <w:rFonts w:ascii="Times New Roman" w:hAnsi="Times New Roman"/>
        </w:rPr>
        <w:t>一、提交伦理审查的研究项目范围</w:t>
      </w:r>
    </w:p>
    <w:p w14:paraId="24610EA7">
      <w:pPr>
        <w:pStyle w:val="20"/>
        <w:spacing w:line="440" w:lineRule="exact"/>
        <w:ind w:left="28" w:right="108" w:firstLine="414"/>
        <w:rPr>
          <w:rFonts w:ascii="Times New Roman" w:hAnsi="Times New Roman"/>
          <w:sz w:val="21"/>
          <w:szCs w:val="21"/>
        </w:rPr>
      </w:pPr>
      <w:r>
        <w:rPr>
          <w:rFonts w:hint="eastAsia" w:ascii="Times New Roman" w:hAnsi="Times New Roman"/>
          <w:sz w:val="21"/>
          <w:szCs w:val="21"/>
          <w:lang w:val="zh-CN"/>
        </w:rPr>
        <w:t>根据</w:t>
      </w:r>
      <w:r>
        <w:rPr>
          <w:rFonts w:hint="eastAsia"/>
          <w:sz w:val="21"/>
          <w:szCs w:val="21"/>
          <w:lang w:val="zh-CN"/>
        </w:rPr>
        <w:t>国家卫健委</w:t>
      </w:r>
      <w:r>
        <w:rPr>
          <w:rFonts w:hint="eastAsia" w:ascii="Times New Roman" w:hAnsi="Times New Roman"/>
          <w:sz w:val="21"/>
          <w:szCs w:val="21"/>
          <w:highlight w:val="none"/>
          <w:lang w:val="zh-CN"/>
        </w:rPr>
        <w:t>《涉及人的生物医学研究伦理审查办法</w:t>
      </w:r>
      <w:r>
        <w:rPr>
          <w:rFonts w:hint="eastAsia"/>
          <w:sz w:val="21"/>
          <w:szCs w:val="21"/>
          <w:highlight w:val="none"/>
          <w:lang w:val="zh-CN"/>
        </w:rPr>
        <w:t>》《</w:t>
      </w:r>
      <w:r>
        <w:rPr>
          <w:rFonts w:hint="eastAsia" w:ascii="Times New Roman" w:hAnsi="Times New Roman"/>
          <w:sz w:val="21"/>
          <w:szCs w:val="21"/>
          <w:lang w:val="zh-CN"/>
        </w:rPr>
        <w:t>药物临床试验质量管理规范</w:t>
      </w:r>
      <w:r>
        <w:rPr>
          <w:rFonts w:hint="eastAsia"/>
          <w:sz w:val="21"/>
          <w:szCs w:val="21"/>
          <w:lang w:val="zh-CN"/>
        </w:rPr>
        <w:t>》《</w:t>
      </w:r>
      <w:r>
        <w:rPr>
          <w:rFonts w:hint="eastAsia" w:ascii="Times New Roman" w:hAnsi="Times New Roman"/>
          <w:bCs/>
          <w:sz w:val="21"/>
          <w:szCs w:val="21"/>
        </w:rPr>
        <w:t>药物临床试验伦理审查工作指导原则》</w:t>
      </w:r>
      <w:r>
        <w:rPr>
          <w:rFonts w:hint="eastAsia" w:ascii="Times New Roman" w:hAnsi="Times New Roman"/>
          <w:sz w:val="21"/>
          <w:szCs w:val="21"/>
        </w:rPr>
        <w:t>，凡属注册药物临床试验的研究项目应依据本指南提交伦理审查申请</w:t>
      </w:r>
      <w:r>
        <w:rPr>
          <w:rFonts w:ascii="Times New Roman" w:hAnsi="Times New Roman"/>
          <w:sz w:val="21"/>
          <w:szCs w:val="21"/>
        </w:rPr>
        <w:t>/</w:t>
      </w:r>
      <w:r>
        <w:rPr>
          <w:rFonts w:hint="eastAsia" w:ascii="Times New Roman" w:hAnsi="Times New Roman"/>
          <w:sz w:val="21"/>
          <w:szCs w:val="21"/>
        </w:rPr>
        <w:t>报告。</w:t>
      </w:r>
    </w:p>
    <w:p w14:paraId="1B2C54D6">
      <w:pPr>
        <w:pStyle w:val="13"/>
        <w:spacing w:before="174"/>
        <w:ind w:firstLine="480"/>
        <w:rPr>
          <w:rFonts w:hint="default" w:ascii="Times New Roman" w:hAnsi="Times New Roman"/>
        </w:rPr>
      </w:pPr>
      <w:r>
        <w:rPr>
          <w:rFonts w:ascii="Times New Roman" w:hAnsi="Times New Roman"/>
        </w:rPr>
        <w:t>二、伦理审查申请/报告类别</w:t>
      </w:r>
    </w:p>
    <w:p w14:paraId="4346DBAE">
      <w:pPr>
        <w:pStyle w:val="19"/>
        <w:spacing w:line="440" w:lineRule="exact"/>
        <w:ind w:firstLine="420" w:firstLineChars="200"/>
        <w:jc w:val="left"/>
        <w:rPr>
          <w:rFonts w:ascii="Times New Roman" w:hAnsi="Times New Roman"/>
        </w:rPr>
      </w:pPr>
      <w:r>
        <w:rPr>
          <w:rFonts w:ascii="Times New Roman" w:hAnsi="Times New Roman"/>
        </w:rPr>
        <w:t>1.</w:t>
      </w:r>
      <w:r>
        <w:rPr>
          <w:rFonts w:hint="eastAsia" w:ascii="Times New Roman" w:hAnsi="Times New Roman"/>
        </w:rPr>
        <w:t>初始审查</w:t>
      </w:r>
    </w:p>
    <w:p w14:paraId="17BF9008">
      <w:pPr>
        <w:pStyle w:val="19"/>
        <w:spacing w:line="440" w:lineRule="exact"/>
        <w:ind w:firstLine="420" w:firstLineChars="200"/>
        <w:jc w:val="left"/>
        <w:rPr>
          <w:rFonts w:ascii="Times New Roman" w:hAnsi="Times New Roman"/>
        </w:rPr>
      </w:pPr>
      <w:r>
        <w:rPr>
          <w:rFonts w:hint="eastAsia" w:ascii="Times New Roman" w:hAnsi="Times New Roman"/>
        </w:rPr>
        <w:t>初始审查申请：是指首次向伦理委员会提交的审查申请。符合上述范围的研究项目，应在研究开始前提交伦理审查申请，经同意后方可实施。本中心作为多中心研究组长单位时可实施前置伦理审查。</w:t>
      </w:r>
    </w:p>
    <w:p w14:paraId="0FDD353E">
      <w:pPr>
        <w:pStyle w:val="19"/>
        <w:spacing w:line="440" w:lineRule="exact"/>
        <w:ind w:firstLine="420" w:firstLineChars="200"/>
        <w:jc w:val="left"/>
        <w:rPr>
          <w:rFonts w:ascii="Times New Roman" w:hAnsi="Times New Roman"/>
        </w:rPr>
      </w:pPr>
      <w:r>
        <w:rPr>
          <w:rFonts w:ascii="Times New Roman" w:hAnsi="Times New Roman"/>
        </w:rPr>
        <w:t>2.</w:t>
      </w:r>
      <w:r>
        <w:rPr>
          <w:rFonts w:hint="eastAsia" w:ascii="Times New Roman" w:hAnsi="Times New Roman"/>
        </w:rPr>
        <w:t>跟踪审查</w:t>
      </w:r>
    </w:p>
    <w:p w14:paraId="0796641A">
      <w:pPr>
        <w:pStyle w:val="19"/>
        <w:spacing w:line="440" w:lineRule="exact"/>
        <w:ind w:firstLine="420" w:firstLineChars="200"/>
        <w:jc w:val="left"/>
        <w:rPr>
          <w:rFonts w:ascii="Times New Roman" w:hAnsi="Times New Roman"/>
        </w:rPr>
      </w:pPr>
      <w:r>
        <w:rPr>
          <w:rFonts w:hint="eastAsia" w:ascii="Times New Roman" w:hAnsi="Times New Roman"/>
          <w:lang w:eastAsia="zh-CN"/>
        </w:rPr>
        <w:t>（1）</w:t>
      </w:r>
      <w:r>
        <w:rPr>
          <w:rFonts w:hint="eastAsia" w:ascii="Times New Roman" w:hAnsi="Times New Roman"/>
        </w:rPr>
        <w:t>修正案审查申请</w:t>
      </w:r>
    </w:p>
    <w:p w14:paraId="4765FC0E">
      <w:pPr>
        <w:pStyle w:val="19"/>
        <w:spacing w:line="440" w:lineRule="exact"/>
        <w:ind w:firstLine="420" w:firstLineChars="200"/>
        <w:jc w:val="left"/>
        <w:rPr>
          <w:rFonts w:ascii="Times New Roman" w:hAnsi="Times New Roman"/>
        </w:rPr>
      </w:pPr>
      <w:r>
        <w:rPr>
          <w:rFonts w:hint="eastAsia" w:ascii="Times New Roman" w:hAnsi="Times New Roman"/>
        </w:rPr>
        <w:t>研究过程中若变更主要研究者，对临床研究方案、知情同意书、招募材料等的任何修改，应向伦理委员会提交修正案审查申请，经同意后执行，除非研究方案的修改仅涉及研究管理或后勤方面，例如更换检查员、变更电话号码、变更药品批号。</w:t>
      </w:r>
    </w:p>
    <w:p w14:paraId="1F4148E9">
      <w:pPr>
        <w:pStyle w:val="19"/>
        <w:spacing w:line="440" w:lineRule="exact"/>
        <w:ind w:firstLine="420" w:firstLineChars="200"/>
        <w:jc w:val="left"/>
        <w:rPr>
          <w:rFonts w:ascii="Times New Roman" w:hAnsi="Times New Roman"/>
        </w:rPr>
      </w:pPr>
      <w:r>
        <w:rPr>
          <w:rFonts w:hint="eastAsia" w:ascii="Times New Roman" w:hAnsi="Times New Roman"/>
        </w:rPr>
        <w:t>紧急情况下，当研究对受试者会导致即时危害时，研究者可在伦理委员会同意前修改研究方案，事后应将修改研究方案的情况及原因，以“修正案审查申请”的方式及时提交伦理委员会审查。</w:t>
      </w:r>
    </w:p>
    <w:p w14:paraId="411C6890">
      <w:pPr>
        <w:pStyle w:val="19"/>
        <w:spacing w:line="440" w:lineRule="exact"/>
        <w:ind w:firstLine="420" w:firstLineChars="200"/>
        <w:jc w:val="left"/>
        <w:rPr>
          <w:rFonts w:ascii="Times New Roman" w:hAnsi="Times New Roman"/>
        </w:rPr>
      </w:pPr>
      <w:r>
        <w:rPr>
          <w:rFonts w:hint="eastAsia" w:ascii="Times New Roman" w:hAnsi="Times New Roman"/>
          <w:lang w:eastAsia="zh-CN"/>
        </w:rPr>
        <w:t>（2）</w:t>
      </w:r>
      <w:r>
        <w:rPr>
          <w:rFonts w:hint="eastAsia" w:ascii="Times New Roman" w:hAnsi="Times New Roman"/>
        </w:rPr>
        <w:t>研究进展报告及研发期间安全性更新报告(DSUR)：应按照伦理审查意见规定的年度</w:t>
      </w:r>
      <w:r>
        <w:rPr>
          <w:rFonts w:ascii="Times New Roman" w:hAnsi="Times New Roman"/>
        </w:rPr>
        <w:t>/</w:t>
      </w:r>
      <w:r>
        <w:rPr>
          <w:rFonts w:hint="eastAsia" w:ascii="Times New Roman" w:hAnsi="Times New Roman"/>
        </w:rPr>
        <w:t>定期跟踪审查频率，在截止日期前</w:t>
      </w:r>
      <w:r>
        <w:rPr>
          <w:rFonts w:hint="eastAsia" w:ascii="Times New Roman" w:hAnsi="Times New Roman"/>
          <w:lang w:val="en-US" w:eastAsia="zh-CN"/>
        </w:rPr>
        <w:t>一</w:t>
      </w:r>
      <w:r>
        <w:rPr>
          <w:rFonts w:hint="eastAsia" w:ascii="Times New Roman" w:hAnsi="Times New Roman"/>
        </w:rPr>
        <w:t>个星期提交研究进展报告及研发期间安全性更新报告(DSUR)：</w:t>
      </w:r>
    </w:p>
    <w:p w14:paraId="347E275B">
      <w:pPr>
        <w:pStyle w:val="19"/>
        <w:numPr>
          <w:ilvl w:val="0"/>
          <w:numId w:val="1"/>
        </w:numPr>
        <w:spacing w:line="440" w:lineRule="exact"/>
        <w:jc w:val="left"/>
        <w:rPr>
          <w:rFonts w:ascii="Times New Roman" w:hAnsi="Times New Roman"/>
        </w:rPr>
      </w:pPr>
      <w:r>
        <w:rPr>
          <w:rFonts w:hint="eastAsia" w:ascii="Times New Roman" w:hAnsi="Times New Roman"/>
        </w:rPr>
        <w:t>研发期间安全性更新报告(DSUR)</w:t>
      </w:r>
      <w:r>
        <w:rPr>
          <w:rFonts w:hint="eastAsia" w:ascii="Times New Roman" w:hAnsi="Times New Roman"/>
          <w:spacing w:val="8"/>
          <w:shd w:val="clear" w:color="auto" w:fill="FFFFFF"/>
        </w:rPr>
        <w:t>参照《研发期间安全性更新报告要求及管理规定》撰写要求，列表汇总电子版递交</w:t>
      </w:r>
      <w:r>
        <w:rPr>
          <w:rFonts w:ascii="Times New Roman" w:hAnsi="Times New Roman" w:cs="Tahoma"/>
          <w:shd w:val="clear" w:color="auto" w:fill="FFFFFF"/>
        </w:rPr>
        <w:t>。</w:t>
      </w:r>
    </w:p>
    <w:p w14:paraId="31CE2A7E">
      <w:pPr>
        <w:pStyle w:val="19"/>
        <w:numPr>
          <w:ilvl w:val="0"/>
          <w:numId w:val="1"/>
        </w:numPr>
        <w:spacing w:line="440" w:lineRule="exact"/>
        <w:jc w:val="left"/>
        <w:rPr>
          <w:rFonts w:ascii="Times New Roman" w:hAnsi="Times New Roman"/>
        </w:rPr>
      </w:pPr>
      <w:r>
        <w:rPr>
          <w:rFonts w:hint="eastAsia" w:ascii="Times New Roman" w:hAnsi="Times New Roman"/>
        </w:rPr>
        <w:t>申办者应当向组长单位伦理委员会提交各中心研究进展的汇总报告。</w:t>
      </w:r>
    </w:p>
    <w:p w14:paraId="1D1128BF">
      <w:pPr>
        <w:pStyle w:val="19"/>
        <w:numPr>
          <w:ilvl w:val="0"/>
          <w:numId w:val="1"/>
        </w:numPr>
        <w:spacing w:line="440" w:lineRule="exact"/>
        <w:jc w:val="left"/>
        <w:rPr>
          <w:rFonts w:ascii="Times New Roman" w:hAnsi="Times New Roman"/>
        </w:rPr>
      </w:pPr>
      <w:r>
        <w:rPr>
          <w:rFonts w:hint="eastAsia" w:ascii="Times New Roman" w:hAnsi="Times New Roman"/>
        </w:rPr>
        <w:t>出现增加受试者风险或者显著影响临床试验实施的改变，可能对受试者的安全或者临床试验的实施产生不利影响的新信息时，应以“研究进展报告”的方式，及时报告伦理委员会。</w:t>
      </w:r>
    </w:p>
    <w:p w14:paraId="7398EEDC">
      <w:pPr>
        <w:pStyle w:val="19"/>
        <w:spacing w:line="440" w:lineRule="exact"/>
        <w:ind w:firstLine="420" w:firstLineChars="200"/>
        <w:jc w:val="left"/>
        <w:rPr>
          <w:rStyle w:val="11"/>
          <w:rFonts w:ascii="Times New Roman" w:hAnsi="Times New Roman" w:eastAsia="微软雅黑"/>
          <w:b w:val="0"/>
          <w:spacing w:val="7"/>
          <w:szCs w:val="21"/>
        </w:rPr>
      </w:pPr>
      <w:r>
        <w:rPr>
          <w:rFonts w:hint="eastAsia" w:ascii="Times New Roman" w:hAnsi="Times New Roman"/>
          <w:lang w:eastAsia="zh-CN"/>
        </w:rPr>
        <w:t>（3）</w:t>
      </w:r>
      <w:r>
        <w:rPr>
          <w:rStyle w:val="11"/>
          <w:rFonts w:hint="eastAsia" w:ascii="Times New Roman" w:hAnsi="Times New Roman"/>
          <w:b w:val="0"/>
          <w:spacing w:val="7"/>
        </w:rPr>
        <w:t>可疑且非预期严重不良反应</w:t>
      </w:r>
      <w:r>
        <w:rPr>
          <w:rStyle w:val="11"/>
          <w:rFonts w:hint="eastAsia" w:ascii="Times New Roman" w:hAnsi="Times New Roman"/>
          <w:b w:val="0"/>
          <w:spacing w:val="7"/>
          <w:lang w:val="en-US" w:eastAsia="zh-CN"/>
        </w:rPr>
        <w:t>(</w:t>
      </w:r>
      <w:r>
        <w:rPr>
          <w:rStyle w:val="11"/>
          <w:rFonts w:ascii="Times New Roman" w:hAnsi="Times New Roman" w:eastAsia="微软雅黑"/>
          <w:b w:val="0"/>
          <w:spacing w:val="7"/>
        </w:rPr>
        <w:t>SUSAR</w:t>
      </w:r>
      <w:r>
        <w:rPr>
          <w:rStyle w:val="11"/>
          <w:rFonts w:hint="eastAsia" w:ascii="Times New Roman" w:hAnsi="Times New Roman" w:eastAsia="微软雅黑"/>
          <w:b w:val="0"/>
          <w:spacing w:val="7"/>
          <w:lang w:val="en-US" w:eastAsia="zh-CN"/>
        </w:rPr>
        <w:t>)</w:t>
      </w:r>
      <w:r>
        <w:rPr>
          <w:rStyle w:val="11"/>
          <w:rFonts w:hint="eastAsia" w:ascii="Times New Roman" w:hAnsi="Times New Roman" w:eastAsia="微软雅黑"/>
          <w:b w:val="0"/>
          <w:spacing w:val="7"/>
        </w:rPr>
        <w:t>：</w:t>
      </w:r>
      <w:r>
        <w:rPr>
          <w:rFonts w:hint="eastAsia" w:ascii="Times New Roman" w:hAnsi="Times New Roman" w:cs="宋体"/>
          <w:szCs w:val="21"/>
        </w:rPr>
        <w:t>指临床表现的性质和严重程度超出了试验药物研究者手册、已上市药品的说明书或者产品特性摘要等已有资料信息的可疑并且非预期的严重不良反应。</w:t>
      </w:r>
    </w:p>
    <w:p w14:paraId="2A825C6A">
      <w:pPr>
        <w:numPr>
          <w:ilvl w:val="2"/>
          <w:numId w:val="2"/>
        </w:numPr>
        <w:spacing w:line="440" w:lineRule="exact"/>
        <w:ind w:left="851" w:hanging="284"/>
        <w:rPr>
          <w:rFonts w:ascii="Times New Roman" w:hAnsi="Times New Roman"/>
          <w:spacing w:val="7"/>
        </w:rPr>
      </w:pPr>
      <w:r>
        <w:rPr>
          <w:rFonts w:hint="eastAsia" w:ascii="Times New Roman" w:hAnsi="Times New Roman"/>
          <w:spacing w:val="7"/>
          <w:shd w:val="clear" w:color="auto" w:fill="FFFFFF"/>
        </w:rPr>
        <w:t>申办方应在接收到研究者的SAE报告之后尽快评估是否为SUSAR，并尽快</w:t>
      </w:r>
      <w:r>
        <w:rPr>
          <w:rFonts w:hint="eastAsia" w:ascii="Times New Roman" w:hAnsi="Times New Roman"/>
          <w:spacing w:val="7"/>
        </w:rPr>
        <w:t>将SUSAR报告递交研究者审阅后按要求提交伦理委员会。</w:t>
      </w:r>
    </w:p>
    <w:p w14:paraId="58AD1123">
      <w:pPr>
        <w:pStyle w:val="7"/>
        <w:numPr>
          <w:ilvl w:val="2"/>
          <w:numId w:val="2"/>
        </w:numPr>
        <w:shd w:val="clear" w:color="auto" w:fill="FFFFFF"/>
        <w:spacing w:before="0" w:beforeAutospacing="0" w:after="0" w:afterAutospacing="0" w:line="440" w:lineRule="exact"/>
        <w:ind w:left="851" w:right="15" w:hanging="284"/>
        <w:jc w:val="both"/>
        <w:rPr>
          <w:rFonts w:ascii="Times New Roman" w:hAnsi="Times New Roman"/>
        </w:rPr>
      </w:pPr>
      <w:r>
        <w:rPr>
          <w:rFonts w:hint="eastAsia" w:ascii="Times New Roman" w:hAnsi="Times New Roman"/>
          <w:spacing w:val="7"/>
          <w:sz w:val="21"/>
          <w:szCs w:val="21"/>
        </w:rPr>
        <w:t>本中心SUSAR：本中心致死或危及生命的SUSAR应在申办者首次获知7天内，研究者填报“本中心SUSAR报告</w:t>
      </w:r>
      <w:r>
        <w:rPr>
          <w:rFonts w:ascii="Times New Roman" w:hAnsi="Times New Roman"/>
          <w:spacing w:val="7"/>
          <w:sz w:val="21"/>
          <w:szCs w:val="21"/>
        </w:rPr>
        <w:t>”</w:t>
      </w:r>
      <w:r>
        <w:rPr>
          <w:rFonts w:hint="eastAsia" w:ascii="Times New Roman" w:hAnsi="Times New Roman"/>
          <w:spacing w:val="7"/>
          <w:sz w:val="21"/>
          <w:szCs w:val="21"/>
        </w:rPr>
        <w:t>递交伦理委员会，并在随后的8天内报告、完善随访信息；对于非致死或危及生命的SUSAR，应在申办者首次获知后15天内研究者尽快递交伦理委员会。</w:t>
      </w:r>
    </w:p>
    <w:p w14:paraId="64D2B517">
      <w:pPr>
        <w:pStyle w:val="7"/>
        <w:numPr>
          <w:ilvl w:val="2"/>
          <w:numId w:val="2"/>
        </w:numPr>
        <w:shd w:val="clear" w:color="auto" w:fill="FFFFFF"/>
        <w:spacing w:before="0" w:beforeAutospacing="0" w:after="0" w:afterAutospacing="0" w:line="440" w:lineRule="exact"/>
        <w:ind w:left="851" w:right="15" w:hanging="284"/>
        <w:jc w:val="both"/>
        <w:rPr>
          <w:rFonts w:ascii="Times New Roman" w:hAnsi="Times New Roman"/>
          <w:spacing w:val="7"/>
          <w:sz w:val="21"/>
          <w:szCs w:val="21"/>
        </w:rPr>
      </w:pPr>
      <w:r>
        <w:rPr>
          <w:rFonts w:hint="eastAsia" w:ascii="Times New Roman" w:hAnsi="Times New Roman"/>
          <w:spacing w:val="7"/>
          <w:sz w:val="21"/>
          <w:szCs w:val="21"/>
        </w:rPr>
        <w:t>非本中心SUSAR：研究者每三个月汇总填报“其他中心SUSAR报告汇总”及附相应个例报告递交伦理委员会，报告的内容需为简体中文，对于同时递交英文原始的报告，以中文版报告为准。</w:t>
      </w:r>
    </w:p>
    <w:p w14:paraId="12C13C3C">
      <w:pPr>
        <w:pStyle w:val="19"/>
        <w:spacing w:line="440" w:lineRule="exact"/>
        <w:ind w:firstLine="420" w:firstLineChars="200"/>
        <w:jc w:val="left"/>
        <w:rPr>
          <w:rFonts w:ascii="Times New Roman" w:hAnsi="Times New Roman"/>
        </w:rPr>
      </w:pPr>
      <w:r>
        <w:rPr>
          <w:rFonts w:hint="eastAsia" w:ascii="Times New Roman" w:hAnsi="Times New Roman"/>
          <w:lang w:eastAsia="zh-CN"/>
        </w:rPr>
        <w:t>（4）</w:t>
      </w:r>
      <w:r>
        <w:rPr>
          <w:rFonts w:hint="eastAsia" w:ascii="Times New Roman" w:hAnsi="Times New Roman"/>
        </w:rPr>
        <w:t>违背方案报告</w:t>
      </w:r>
    </w:p>
    <w:p w14:paraId="29682C22">
      <w:pPr>
        <w:pStyle w:val="19"/>
        <w:numPr>
          <w:ilvl w:val="0"/>
          <w:numId w:val="3"/>
        </w:numPr>
        <w:spacing w:line="440" w:lineRule="exact"/>
        <w:jc w:val="left"/>
        <w:rPr>
          <w:rFonts w:ascii="Times New Roman" w:hAnsi="Times New Roman"/>
          <w:szCs w:val="21"/>
        </w:rPr>
      </w:pPr>
      <w:r>
        <w:rPr>
          <w:rFonts w:hint="eastAsia" w:ascii="Times New Roman" w:hAnsi="Times New Roman"/>
        </w:rPr>
        <w:t>重大的方案违背：临床试验实施中为消除对受试者紧急危害的试验方案的偏离或者修改；研究纳入了不符合纳入标准或符合排除标准的受试者，符合中止试验规定而未让受试者退出研究；给予错误的治疗或剂量，给予方案禁止的合并用药等没有遵从方案开展研究的情况；</w:t>
      </w:r>
      <w:r>
        <w:rPr>
          <w:rFonts w:hint="eastAsia" w:ascii="Times New Roman" w:hAnsi="Times New Roman"/>
          <w:kern w:val="0"/>
        </w:rPr>
        <w:t>如何偏离</w:t>
      </w:r>
      <w:r>
        <w:rPr>
          <w:rFonts w:ascii="Times New Roman" w:hAnsi="Times New Roman"/>
          <w:kern w:val="0"/>
        </w:rPr>
        <w:t>研究特定的</w:t>
      </w:r>
      <w:r>
        <w:rPr>
          <w:rFonts w:hint="eastAsia" w:ascii="Times New Roman" w:hAnsi="Times New Roman"/>
          <w:kern w:val="0"/>
        </w:rPr>
        <w:t>程序</w:t>
      </w:r>
      <w:r>
        <w:rPr>
          <w:rFonts w:ascii="Times New Roman" w:hAnsi="Times New Roman"/>
          <w:kern w:val="0"/>
        </w:rPr>
        <w:t>和评估</w:t>
      </w:r>
      <w:r>
        <w:rPr>
          <w:rFonts w:hint="eastAsia" w:ascii="Times New Roman" w:hAnsi="Times New Roman"/>
          <w:kern w:val="0"/>
          <w:lang w:eastAsia="zh-CN"/>
        </w:rPr>
        <w:t>，</w:t>
      </w:r>
      <w:r>
        <w:rPr>
          <w:rFonts w:ascii="Times New Roman" w:hAnsi="Times New Roman"/>
          <w:kern w:val="0"/>
        </w:rPr>
        <w:t>从而对受试者的安全</w:t>
      </w:r>
      <w:r>
        <w:rPr>
          <w:rFonts w:hint="eastAsia" w:ascii="Times New Roman" w:hAnsi="Times New Roman"/>
          <w:kern w:val="0"/>
        </w:rPr>
        <w:t>、</w:t>
      </w:r>
      <w:r>
        <w:rPr>
          <w:rFonts w:ascii="Times New Roman" w:hAnsi="Times New Roman"/>
          <w:kern w:val="0"/>
        </w:rPr>
        <w:t>权益和健康</w:t>
      </w:r>
      <w:r>
        <w:rPr>
          <w:rFonts w:hint="eastAsia" w:ascii="Times New Roman" w:hAnsi="Times New Roman"/>
          <w:kern w:val="0"/>
        </w:rPr>
        <w:t>，或对</w:t>
      </w:r>
      <w:r>
        <w:rPr>
          <w:rFonts w:ascii="Times New Roman" w:hAnsi="Times New Roman"/>
          <w:kern w:val="0"/>
        </w:rPr>
        <w:t>研究结果产生显著</w:t>
      </w:r>
      <w:r>
        <w:rPr>
          <w:rFonts w:hint="eastAsia" w:ascii="Times New Roman" w:hAnsi="Times New Roman"/>
          <w:kern w:val="0"/>
        </w:rPr>
        <w:t>影响</w:t>
      </w:r>
      <w:r>
        <w:rPr>
          <w:rFonts w:ascii="Times New Roman" w:hAnsi="Times New Roman"/>
          <w:kern w:val="0"/>
        </w:rPr>
        <w:t>的研究行为</w:t>
      </w:r>
      <w:r>
        <w:rPr>
          <w:rFonts w:hint="eastAsia" w:ascii="Times New Roman" w:hAnsi="Times New Roman"/>
          <w:kern w:val="0"/>
        </w:rPr>
        <w:t>；</w:t>
      </w:r>
      <w:r>
        <w:rPr>
          <w:rFonts w:hint="eastAsia" w:ascii="Times New Roman" w:hAnsi="Times New Roman" w:cs="仿宋"/>
          <w:kern w:val="0"/>
          <w:szCs w:val="21"/>
          <w:shd w:val="clear" w:color="auto" w:fill="FFFFFF"/>
        </w:rPr>
        <w:t>其他方案规定的严重方案违背。</w:t>
      </w:r>
    </w:p>
    <w:p w14:paraId="4F84A80C">
      <w:pPr>
        <w:pStyle w:val="19"/>
        <w:numPr>
          <w:ilvl w:val="0"/>
          <w:numId w:val="3"/>
        </w:numPr>
        <w:spacing w:line="440" w:lineRule="exact"/>
        <w:jc w:val="left"/>
        <w:rPr>
          <w:rFonts w:ascii="Times New Roman" w:hAnsi="Times New Roman"/>
        </w:rPr>
      </w:pPr>
      <w:r>
        <w:rPr>
          <w:rFonts w:hint="eastAsia" w:ascii="Times New Roman" w:hAnsi="Times New Roman"/>
        </w:rPr>
        <w:t>持续违背方案：</w:t>
      </w:r>
      <w:r>
        <w:rPr>
          <w:rFonts w:hint="eastAsia" w:ascii="Times New Roman" w:hAnsi="Times New Roman" w:cs="仿宋"/>
          <w:kern w:val="0"/>
          <w:szCs w:val="21"/>
          <w:shd w:val="clear" w:color="auto" w:fill="FFFFFF"/>
        </w:rPr>
        <w:t>同一个受试者在治疗周期中相同的检查时间点和/或检查项目出现连续（N≥3次）的漏查；在同一个临床试验中多名患者（N≥3次）发生同一检查项目漏查的情况。</w:t>
      </w:r>
    </w:p>
    <w:p w14:paraId="16EBF2A5">
      <w:pPr>
        <w:pStyle w:val="19"/>
        <w:numPr>
          <w:ilvl w:val="0"/>
          <w:numId w:val="3"/>
        </w:numPr>
        <w:spacing w:line="440" w:lineRule="exact"/>
        <w:jc w:val="left"/>
        <w:rPr>
          <w:rFonts w:ascii="Times New Roman" w:hAnsi="Times New Roman"/>
        </w:rPr>
      </w:pPr>
      <w:r>
        <w:rPr>
          <w:rFonts w:hint="eastAsia" w:ascii="Times New Roman" w:hAnsi="Times New Roman"/>
        </w:rPr>
        <w:t>其他轻微方案违背每三个月填报《轻微违背方案报告》汇总备案</w:t>
      </w:r>
      <w:r>
        <w:rPr>
          <w:rFonts w:ascii="Times New Roman" w:hAnsi="Times New Roman"/>
        </w:rPr>
        <w:t>存档</w:t>
      </w:r>
      <w:r>
        <w:rPr>
          <w:rFonts w:hint="eastAsia" w:ascii="Times New Roman" w:hAnsi="Times New Roman"/>
        </w:rPr>
        <w:t>。</w:t>
      </w:r>
    </w:p>
    <w:p w14:paraId="16123642">
      <w:pPr>
        <w:pStyle w:val="19"/>
        <w:spacing w:line="440" w:lineRule="exact"/>
        <w:ind w:firstLine="420" w:firstLineChars="200"/>
        <w:jc w:val="left"/>
        <w:rPr>
          <w:rFonts w:ascii="Times New Roman" w:hAnsi="Times New Roman"/>
        </w:rPr>
      </w:pPr>
      <w:r>
        <w:rPr>
          <w:rFonts w:hint="eastAsia" w:ascii="Times New Roman" w:hAnsi="Times New Roman"/>
          <w:lang w:eastAsia="zh-CN"/>
        </w:rPr>
        <w:t>（5）</w:t>
      </w:r>
      <w:r>
        <w:rPr>
          <w:rFonts w:hint="eastAsia" w:ascii="Times New Roman" w:hAnsi="Times New Roman"/>
        </w:rPr>
        <w:t>暂停</w:t>
      </w:r>
      <w:r>
        <w:rPr>
          <w:rFonts w:ascii="Times New Roman" w:hAnsi="Times New Roman"/>
        </w:rPr>
        <w:t>/</w:t>
      </w:r>
      <w:r>
        <w:rPr>
          <w:rFonts w:hint="eastAsia" w:ascii="Times New Roman" w:hAnsi="Times New Roman"/>
        </w:rPr>
        <w:t>终止研究报告：研究者</w:t>
      </w:r>
      <w:r>
        <w:rPr>
          <w:rFonts w:ascii="Times New Roman" w:hAnsi="Times New Roman"/>
        </w:rPr>
        <w:t>/</w:t>
      </w:r>
      <w:r>
        <w:rPr>
          <w:rFonts w:hint="eastAsia" w:ascii="Times New Roman" w:hAnsi="Times New Roman"/>
        </w:rPr>
        <w:t>申办者暂停或提前终止临床研究，应及时向伦理委员会提交暂停</w:t>
      </w:r>
      <w:r>
        <w:rPr>
          <w:rFonts w:ascii="Times New Roman" w:hAnsi="Times New Roman"/>
        </w:rPr>
        <w:t>/</w:t>
      </w:r>
      <w:r>
        <w:rPr>
          <w:rFonts w:hint="eastAsia" w:ascii="Times New Roman" w:hAnsi="Times New Roman"/>
        </w:rPr>
        <w:t>终止研究报告。</w:t>
      </w:r>
    </w:p>
    <w:p w14:paraId="1CE0D7DB">
      <w:pPr>
        <w:pStyle w:val="19"/>
        <w:spacing w:line="440" w:lineRule="exact"/>
        <w:ind w:firstLine="420" w:firstLineChars="200"/>
        <w:jc w:val="left"/>
        <w:rPr>
          <w:rFonts w:ascii="Times New Roman" w:hAnsi="Times New Roman"/>
        </w:rPr>
      </w:pPr>
      <w:r>
        <w:rPr>
          <w:rFonts w:hint="eastAsia" w:ascii="Times New Roman" w:hAnsi="Times New Roman"/>
          <w:lang w:eastAsia="zh-CN"/>
        </w:rPr>
        <w:t>（6）</w:t>
      </w:r>
      <w:r>
        <w:rPr>
          <w:rFonts w:hint="eastAsia" w:ascii="Times New Roman" w:hAnsi="Times New Roman"/>
        </w:rPr>
        <w:t>研究完成报告：完成临床研究，应及时向伦理委员会提交结题报告。</w:t>
      </w:r>
    </w:p>
    <w:p w14:paraId="0072D0EC">
      <w:pPr>
        <w:pStyle w:val="19"/>
        <w:spacing w:line="440" w:lineRule="exact"/>
        <w:ind w:firstLine="420" w:firstLineChars="200"/>
        <w:jc w:val="left"/>
        <w:rPr>
          <w:rFonts w:ascii="Times New Roman" w:hAnsi="Times New Roman"/>
        </w:rPr>
      </w:pPr>
      <w:r>
        <w:rPr>
          <w:rFonts w:ascii="Times New Roman" w:hAnsi="Times New Roman"/>
        </w:rPr>
        <w:t>3.</w:t>
      </w:r>
      <w:r>
        <w:rPr>
          <w:rFonts w:hint="eastAsia" w:ascii="Times New Roman" w:hAnsi="Times New Roman"/>
        </w:rPr>
        <w:t>复审</w:t>
      </w:r>
    </w:p>
    <w:p w14:paraId="122194AD">
      <w:pPr>
        <w:pStyle w:val="19"/>
        <w:spacing w:line="440" w:lineRule="exact"/>
        <w:ind w:firstLine="420" w:firstLineChars="200"/>
        <w:jc w:val="left"/>
        <w:rPr>
          <w:rFonts w:ascii="Times New Roman" w:hAnsi="Times New Roman"/>
        </w:rPr>
      </w:pPr>
      <w:r>
        <w:rPr>
          <w:rFonts w:hint="eastAsia" w:ascii="Times New Roman" w:hAnsi="Times New Roman"/>
        </w:rPr>
        <w:t>复审申请：上述初始审查和跟踪审查后，按伦理审查意见“必要的修改后同意”</w:t>
      </w:r>
      <w:r>
        <w:rPr>
          <w:rFonts w:hint="eastAsia" w:ascii="Times New Roman" w:hAnsi="Times New Roman"/>
          <w:lang w:eastAsia="zh-CN"/>
        </w:rPr>
        <w:t>，</w:t>
      </w:r>
      <w:r>
        <w:rPr>
          <w:rFonts w:hint="eastAsia" w:ascii="Times New Roman" w:hAnsi="Times New Roman"/>
        </w:rPr>
        <w:t>对方案、知情同意书进行修改后</w:t>
      </w:r>
      <w:r>
        <w:rPr>
          <w:rFonts w:hint="eastAsia" w:ascii="Times New Roman" w:hAnsi="Times New Roman"/>
          <w:szCs w:val="21"/>
        </w:rPr>
        <w:t>的文件，附相应的修订记录在十个工作日内</w:t>
      </w:r>
      <w:r>
        <w:rPr>
          <w:rFonts w:hint="eastAsia" w:ascii="Times New Roman" w:hAnsi="Times New Roman"/>
        </w:rPr>
        <w:t>以“复审申请”的方式再次送审，经伦理委员会同意后方可实施；如果对伦理审查意见有不同的看法，可以“复审申请”的方式申诉不同意见，请伦理委员会重新考虑决定。</w:t>
      </w:r>
    </w:p>
    <w:p w14:paraId="5FC27689">
      <w:pPr>
        <w:pStyle w:val="13"/>
        <w:spacing w:before="174"/>
        <w:ind w:firstLine="480"/>
        <w:rPr>
          <w:rFonts w:hint="default" w:ascii="Times New Roman" w:hAnsi="Times New Roman"/>
        </w:rPr>
      </w:pPr>
      <w:r>
        <w:rPr>
          <w:rFonts w:ascii="Times New Roman" w:hAnsi="Times New Roman"/>
        </w:rPr>
        <w:t>三、提交伦理审查的流程</w:t>
      </w:r>
    </w:p>
    <w:p w14:paraId="493C0946">
      <w:pPr>
        <w:pStyle w:val="19"/>
        <w:spacing w:line="440" w:lineRule="exact"/>
        <w:ind w:firstLine="420" w:firstLineChars="200"/>
        <w:jc w:val="left"/>
        <w:rPr>
          <w:rFonts w:ascii="Times New Roman" w:hAnsi="Times New Roman"/>
        </w:rPr>
      </w:pPr>
      <w:r>
        <w:rPr>
          <w:rFonts w:ascii="Times New Roman" w:hAnsi="Times New Roman"/>
        </w:rPr>
        <w:t>1.</w:t>
      </w:r>
      <w:r>
        <w:rPr>
          <w:rFonts w:hint="eastAsia" w:ascii="Times New Roman" w:hAnsi="Times New Roman"/>
        </w:rPr>
        <w:t>提交送审文件</w:t>
      </w:r>
    </w:p>
    <w:p w14:paraId="003F4677">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 送审责任者：主要研究者作为项目伦理审查申请人，负责文件送审。</w:t>
      </w:r>
    </w:p>
    <w:p w14:paraId="2895F49F">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 初始审查项目提交伦理审查前必须先获得本中心临床试验机构的立项批准函。</w:t>
      </w:r>
    </w:p>
    <w:p w14:paraId="758A5D53">
      <w:pPr>
        <w:pStyle w:val="19"/>
        <w:numPr>
          <w:ilvl w:val="0"/>
          <w:numId w:val="4"/>
        </w:numPr>
        <w:spacing w:line="440" w:lineRule="exact"/>
        <w:jc w:val="left"/>
        <w:rPr>
          <w:rFonts w:ascii="Times New Roman" w:hAnsi="Times New Roman"/>
        </w:rPr>
      </w:pPr>
      <w:r>
        <w:rPr>
          <w:rFonts w:hint="eastAsia" w:ascii="Times New Roman" w:hAnsi="Times New Roman"/>
        </w:rPr>
        <w:t>多中心研究提交伦理前必须先获得组长单位批件。</w:t>
      </w:r>
    </w:p>
    <w:p w14:paraId="3E2B893F">
      <w:pPr>
        <w:pStyle w:val="19"/>
        <w:numPr>
          <w:ilvl w:val="0"/>
          <w:numId w:val="4"/>
        </w:numPr>
        <w:spacing w:line="440" w:lineRule="exact"/>
        <w:jc w:val="left"/>
        <w:rPr>
          <w:rFonts w:ascii="Times New Roman" w:hAnsi="Times New Roman"/>
        </w:rPr>
      </w:pPr>
      <w:r>
        <w:rPr>
          <w:rFonts w:hint="eastAsia" w:ascii="Times New Roman" w:hAnsi="Times New Roman"/>
        </w:rPr>
        <w:t>本中心作为多中心研究组长单位时可实施前置伦理审查。</w:t>
      </w:r>
    </w:p>
    <w:p w14:paraId="5E2D9665">
      <w:pPr>
        <w:pStyle w:val="19"/>
        <w:spacing w:line="440" w:lineRule="exact"/>
        <w:ind w:firstLine="420" w:firstLineChars="200"/>
        <w:jc w:val="left"/>
        <w:rPr>
          <w:rFonts w:ascii="Times New Roman" w:hAnsi="Times New Roman"/>
          <w:b w:val="0"/>
          <w:bCs/>
          <w:u w:val="single"/>
        </w:rPr>
      </w:pPr>
      <w:r>
        <w:rPr>
          <w:rFonts w:hint="eastAsia" w:ascii="Times New Roman" w:hAnsi="Times New Roman"/>
          <w:b w:val="0"/>
          <w:bCs/>
          <w:u w:val="single"/>
        </w:rPr>
        <w:t>（</w:t>
      </w:r>
      <w:r>
        <w:rPr>
          <w:rFonts w:hint="eastAsia" w:ascii="Times New Roman" w:hAnsi="Times New Roman"/>
          <w:b w:val="0"/>
          <w:bCs/>
          <w:u w:val="single"/>
          <w:lang w:val="en-US" w:eastAsia="zh-CN"/>
        </w:rPr>
        <w:t>5</w:t>
      </w:r>
      <w:r>
        <w:rPr>
          <w:rFonts w:hint="eastAsia" w:ascii="Times New Roman" w:hAnsi="Times New Roman"/>
          <w:b w:val="0"/>
          <w:bCs/>
          <w:u w:val="single"/>
        </w:rPr>
        <w:t>）准备送审文件及提交资料要求：</w:t>
      </w:r>
    </w:p>
    <w:p w14:paraId="725A2BD4">
      <w:pPr>
        <w:pStyle w:val="19"/>
        <w:numPr>
          <w:ilvl w:val="0"/>
          <w:numId w:val="5"/>
        </w:numPr>
        <w:spacing w:line="440" w:lineRule="exact"/>
        <w:jc w:val="left"/>
        <w:rPr>
          <w:rFonts w:ascii="Times New Roman" w:hAnsi="Times New Roman"/>
          <w:b w:val="0"/>
          <w:bCs/>
        </w:rPr>
      </w:pPr>
      <w:r>
        <w:rPr>
          <w:rFonts w:ascii="Times New Roman" w:hAnsi="Times New Roman"/>
        </w:rPr>
        <w:t>送审资料</w:t>
      </w:r>
      <w:r>
        <w:rPr>
          <w:rFonts w:hint="eastAsia" w:ascii="Times New Roman" w:hAnsi="Times New Roman"/>
        </w:rPr>
        <w:t>根据“送审文件清单”及</w:t>
      </w:r>
      <w:r>
        <w:rPr>
          <w:rFonts w:ascii="Times New Roman" w:hAnsi="Times New Roman"/>
        </w:rPr>
        <w:t>要求</w:t>
      </w:r>
      <w:r>
        <w:rPr>
          <w:rFonts w:hint="eastAsia" w:ascii="Times New Roman" w:hAnsi="Times New Roman"/>
        </w:rPr>
        <w:t>制作成PDF电子版，</w:t>
      </w:r>
      <w:r>
        <w:rPr>
          <w:rFonts w:hint="eastAsia" w:ascii="Times New Roman" w:hAnsi="Times New Roman"/>
          <w:szCs w:val="21"/>
        </w:rPr>
        <w:t xml:space="preserve"> </w:t>
      </w:r>
      <w:r>
        <w:rPr>
          <w:rFonts w:hint="eastAsia" w:ascii="Times New Roman" w:hAnsi="Times New Roman"/>
          <w:b w:val="0"/>
          <w:bCs/>
          <w:snapToGrid w:val="0"/>
          <w:kern w:val="0"/>
        </w:rPr>
        <w:t>文件名命名为：研究项目名称、研究专业及课题负责人。</w:t>
      </w:r>
    </w:p>
    <w:p w14:paraId="78D6E295">
      <w:pPr>
        <w:pStyle w:val="19"/>
        <w:numPr>
          <w:ilvl w:val="0"/>
          <w:numId w:val="5"/>
        </w:numPr>
        <w:spacing w:line="440" w:lineRule="exact"/>
        <w:jc w:val="left"/>
        <w:rPr>
          <w:rFonts w:ascii="Times New Roman" w:hAnsi="Times New Roman"/>
          <w:b/>
        </w:rPr>
      </w:pPr>
      <w:r>
        <w:rPr>
          <w:rFonts w:hint="eastAsia" w:ascii="Times New Roman" w:hAnsi="Times New Roman"/>
        </w:rPr>
        <w:t>递交</w:t>
      </w:r>
      <w:r>
        <w:rPr>
          <w:rFonts w:ascii="Times New Roman" w:hAnsi="Times New Roman"/>
        </w:rPr>
        <w:t>资料份数：</w:t>
      </w:r>
      <w:r>
        <w:rPr>
          <w:rFonts w:hint="eastAsia" w:ascii="Times New Roman" w:hAnsi="Times New Roman"/>
        </w:rPr>
        <w:t>PDF电子版1份及申请</w:t>
      </w:r>
      <w:r>
        <w:rPr>
          <w:rFonts w:ascii="Times New Roman" w:hAnsi="Times New Roman"/>
        </w:rPr>
        <w:t>报告原件</w:t>
      </w:r>
      <w:r>
        <w:rPr>
          <w:rFonts w:hint="eastAsia" w:ascii="Times New Roman" w:hAnsi="Times New Roman"/>
        </w:rPr>
        <w:t>。</w:t>
      </w:r>
    </w:p>
    <w:p w14:paraId="6B1942FD">
      <w:pPr>
        <w:pStyle w:val="19"/>
        <w:numPr>
          <w:ilvl w:val="0"/>
          <w:numId w:val="5"/>
        </w:numPr>
        <w:spacing w:line="440" w:lineRule="exact"/>
        <w:jc w:val="left"/>
        <w:rPr>
          <w:rFonts w:ascii="Times New Roman" w:hAnsi="Times New Roman"/>
          <w:b w:val="0"/>
          <w:bCs/>
          <w:szCs w:val="21"/>
        </w:rPr>
      </w:pPr>
      <w:r>
        <w:rPr>
          <w:rFonts w:hint="eastAsia" w:ascii="Times New Roman" w:hAnsi="Times New Roman"/>
          <w:b w:val="0"/>
          <w:bCs/>
          <w:snapToGrid w:val="0"/>
          <w:kern w:val="0"/>
        </w:rPr>
        <w:t>申请表及目录清单需另外提供一份</w:t>
      </w:r>
      <w:r>
        <w:rPr>
          <w:rFonts w:hint="eastAsia" w:ascii="Times New Roman" w:hAnsi="Times New Roman"/>
          <w:b w:val="0"/>
          <w:bCs/>
          <w:snapToGrid w:val="0"/>
          <w:kern w:val="0"/>
          <w:lang w:eastAsia="zh-CN"/>
        </w:rPr>
        <w:t>W</w:t>
      </w:r>
      <w:r>
        <w:rPr>
          <w:rFonts w:ascii="Times New Roman" w:hAnsi="Times New Roman"/>
          <w:b w:val="0"/>
          <w:bCs/>
          <w:snapToGrid w:val="0"/>
          <w:kern w:val="0"/>
        </w:rPr>
        <w:t>ord</w:t>
      </w:r>
      <w:r>
        <w:rPr>
          <w:rFonts w:hint="eastAsia" w:ascii="Times New Roman" w:hAnsi="Times New Roman"/>
          <w:b w:val="0"/>
          <w:bCs/>
          <w:snapToGrid w:val="0"/>
          <w:kern w:val="0"/>
        </w:rPr>
        <w:t>版，审查意见将会按照所提供的目录清单制作</w:t>
      </w:r>
      <w:r>
        <w:rPr>
          <w:rFonts w:hint="eastAsia" w:ascii="Times New Roman" w:hAnsi="Times New Roman"/>
          <w:b w:val="0"/>
          <w:bCs/>
          <w:snapToGrid w:val="0"/>
          <w:kern w:val="0"/>
          <w:lang w:eastAsia="zh-CN"/>
        </w:rPr>
        <w:t>，</w:t>
      </w:r>
      <w:r>
        <w:rPr>
          <w:rFonts w:hint="eastAsia" w:ascii="Times New Roman" w:hAnsi="Times New Roman"/>
          <w:b w:val="0"/>
          <w:bCs/>
          <w:snapToGrid w:val="0"/>
          <w:kern w:val="0"/>
        </w:rPr>
        <w:t>所以请保证目录清单及相关的版本号、版本日期无误。</w:t>
      </w:r>
    </w:p>
    <w:p w14:paraId="799523F4">
      <w:pPr>
        <w:pStyle w:val="19"/>
        <w:numPr>
          <w:ilvl w:val="0"/>
          <w:numId w:val="5"/>
        </w:numPr>
        <w:spacing w:line="440" w:lineRule="exact"/>
        <w:jc w:val="left"/>
        <w:rPr>
          <w:rFonts w:ascii="Times New Roman" w:hAnsi="Times New Roman"/>
          <w:szCs w:val="21"/>
        </w:rPr>
      </w:pPr>
      <w:r>
        <w:rPr>
          <w:rFonts w:hint="eastAsia" w:ascii="Times New Roman" w:hAnsi="Times New Roman"/>
        </w:rPr>
        <w:t>资料顺序：</w:t>
      </w:r>
      <w:r>
        <w:rPr>
          <w:rFonts w:ascii="Times New Roman" w:hAnsi="Times New Roman"/>
        </w:rPr>
        <w:fldChar w:fldCharType="begin"/>
      </w:r>
      <w:r>
        <w:rPr>
          <w:rFonts w:ascii="Times New Roman" w:hAnsi="Times New Roman"/>
        </w:rPr>
        <w:instrText xml:space="preserve"> = 1 \* GB3 </w:instrText>
      </w:r>
      <w:r>
        <w:rPr>
          <w:rFonts w:ascii="Times New Roman" w:hAnsi="Times New Roman"/>
        </w:rPr>
        <w:fldChar w:fldCharType="separate"/>
      </w:r>
      <w:r>
        <w:rPr>
          <w:rFonts w:hint="eastAsia" w:ascii="Times New Roman" w:hAnsi="Times New Roman"/>
        </w:rPr>
        <w:t>①</w:t>
      </w:r>
      <w:r>
        <w:rPr>
          <w:rFonts w:ascii="Times New Roman" w:hAnsi="Times New Roman"/>
        </w:rPr>
        <w:fldChar w:fldCharType="end"/>
      </w:r>
      <w:r>
        <w:rPr>
          <w:rFonts w:ascii="Times New Roman" w:hAnsi="Times New Roman"/>
        </w:rPr>
        <w:t xml:space="preserve"> </w:t>
      </w:r>
      <w:r>
        <w:rPr>
          <w:rFonts w:hint="eastAsia" w:ascii="Times New Roman" w:hAnsi="Times New Roman"/>
        </w:rPr>
        <w:t>目录清单</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 2 \* GB3 </w:instrText>
      </w:r>
      <w:r>
        <w:rPr>
          <w:rFonts w:ascii="Times New Roman" w:hAnsi="Times New Roman"/>
        </w:rPr>
        <w:fldChar w:fldCharType="separate"/>
      </w:r>
      <w:r>
        <w:rPr>
          <w:rFonts w:hint="eastAsia" w:ascii="Times New Roman" w:hAnsi="Times New Roman"/>
        </w:rPr>
        <w:t>②</w:t>
      </w:r>
      <w:r>
        <w:rPr>
          <w:rFonts w:ascii="Times New Roman" w:hAnsi="Times New Roman"/>
        </w:rPr>
        <w:fldChar w:fldCharType="end"/>
      </w:r>
      <w:r>
        <w:rPr>
          <w:rFonts w:hint="eastAsia" w:ascii="Times New Roman" w:hAnsi="Times New Roman"/>
        </w:rPr>
        <w:t>审查文件按目录清单排序。</w:t>
      </w:r>
    </w:p>
    <w:p w14:paraId="1ACF5B93">
      <w:pPr>
        <w:pStyle w:val="19"/>
        <w:numPr>
          <w:ilvl w:val="0"/>
          <w:numId w:val="5"/>
        </w:numPr>
        <w:spacing w:line="440" w:lineRule="exact"/>
        <w:jc w:val="left"/>
        <w:rPr>
          <w:rFonts w:ascii="Times New Roman" w:hAnsi="Times New Roman"/>
          <w:szCs w:val="21"/>
        </w:rPr>
      </w:pPr>
      <w:r>
        <w:rPr>
          <w:rFonts w:hint="eastAsia" w:ascii="Times New Roman" w:hAnsi="Times New Roman"/>
        </w:rPr>
        <w:t>目录清单：按本中心目录清单模板</w:t>
      </w:r>
      <w:r>
        <w:rPr>
          <w:rFonts w:hint="eastAsia" w:ascii="Times New Roman" w:hAnsi="Times New Roman"/>
          <w:lang w:eastAsia="zh-CN"/>
        </w:rPr>
        <w:t>（</w:t>
      </w:r>
      <w:r>
        <w:rPr>
          <w:rFonts w:hint="eastAsia" w:ascii="Times New Roman" w:hAnsi="Times New Roman"/>
        </w:rPr>
        <w:t>不建议用表格</w:t>
      </w:r>
      <w:r>
        <w:rPr>
          <w:rFonts w:hint="eastAsia" w:ascii="Times New Roman" w:hAnsi="Times New Roman"/>
          <w:lang w:eastAsia="zh-CN"/>
        </w:rPr>
        <w:t>）</w:t>
      </w:r>
      <w:r>
        <w:rPr>
          <w:rFonts w:hint="eastAsia" w:ascii="Times New Roman" w:hAnsi="Times New Roman"/>
        </w:rPr>
        <w:t>，清单内容</w:t>
      </w:r>
      <w:r>
        <w:rPr>
          <w:rFonts w:hint="eastAsia" w:ascii="Times New Roman" w:hAnsi="Times New Roman"/>
          <w:b w:val="0"/>
          <w:bCs/>
        </w:rPr>
        <w:t>按实际提交</w:t>
      </w:r>
      <w:r>
        <w:rPr>
          <w:rFonts w:hint="eastAsia" w:ascii="Times New Roman" w:hAnsi="Times New Roman"/>
        </w:rPr>
        <w:t>的文件制作，方案、知情同意书及招募广告需注明版本号、版本日期。</w:t>
      </w:r>
    </w:p>
    <w:p w14:paraId="713E40BD">
      <w:pPr>
        <w:pStyle w:val="19"/>
        <w:numPr>
          <w:ilvl w:val="0"/>
          <w:numId w:val="5"/>
        </w:numPr>
        <w:spacing w:line="440" w:lineRule="exact"/>
        <w:jc w:val="left"/>
        <w:rPr>
          <w:rFonts w:ascii="Times New Roman" w:hAnsi="Times New Roman"/>
          <w:b/>
          <w:szCs w:val="21"/>
        </w:rPr>
      </w:pPr>
      <w:r>
        <w:rPr>
          <w:rFonts w:hint="eastAsia" w:ascii="Times New Roman" w:hAnsi="Times New Roman"/>
        </w:rPr>
        <w:t>研究方案需主要研究者和申办方签字及盖章并附方案摘要</w:t>
      </w:r>
      <w:r>
        <w:rPr>
          <w:rFonts w:hint="eastAsia" w:ascii="Times New Roman" w:hAnsi="Times New Roman"/>
          <w:snapToGrid w:val="0"/>
          <w:kern w:val="0"/>
        </w:rPr>
        <w:t>，方案等标注需要签字</w:t>
      </w:r>
      <w:r>
        <w:rPr>
          <w:rFonts w:ascii="Times New Roman" w:hAnsi="Times New Roman"/>
          <w:snapToGrid w:val="0"/>
          <w:kern w:val="0"/>
        </w:rPr>
        <w:t>/</w:t>
      </w:r>
      <w:r>
        <w:rPr>
          <w:rFonts w:hint="eastAsia" w:ascii="Times New Roman" w:hAnsi="Times New Roman"/>
          <w:snapToGrid w:val="0"/>
          <w:kern w:val="0"/>
        </w:rPr>
        <w:t>盖章页可用扫描件</w:t>
      </w:r>
      <w:r>
        <w:rPr>
          <w:rFonts w:hint="eastAsia" w:ascii="Times New Roman" w:hAnsi="Times New Roman"/>
          <w:b/>
          <w:snapToGrid w:val="0"/>
          <w:kern w:val="0"/>
        </w:rPr>
        <w:t>。</w:t>
      </w:r>
    </w:p>
    <w:p w14:paraId="6B6949DC">
      <w:pPr>
        <w:pStyle w:val="19"/>
        <w:numPr>
          <w:ilvl w:val="0"/>
          <w:numId w:val="5"/>
        </w:numPr>
        <w:spacing w:line="440" w:lineRule="exact"/>
        <w:jc w:val="left"/>
        <w:rPr>
          <w:rFonts w:ascii="Times New Roman" w:hAnsi="Times New Roman"/>
          <w:b/>
          <w:szCs w:val="21"/>
        </w:rPr>
      </w:pPr>
      <w:r>
        <w:rPr>
          <w:rFonts w:hint="eastAsia" w:ascii="Times New Roman" w:hAnsi="Times New Roman"/>
        </w:rPr>
        <w:t>在方案、知情同意书及招募广告的</w:t>
      </w:r>
      <w:r>
        <w:rPr>
          <w:rFonts w:hint="eastAsia" w:ascii="Times New Roman" w:hAnsi="Times New Roman"/>
          <w:szCs w:val="21"/>
        </w:rPr>
        <w:t>页眉</w:t>
      </w:r>
      <w:r>
        <w:rPr>
          <w:rFonts w:ascii="Times New Roman" w:hAnsi="Times New Roman"/>
          <w:szCs w:val="21"/>
        </w:rPr>
        <w:t>/</w:t>
      </w:r>
      <w:r>
        <w:rPr>
          <w:rFonts w:hint="eastAsia" w:ascii="Times New Roman" w:hAnsi="Times New Roman"/>
          <w:szCs w:val="21"/>
        </w:rPr>
        <w:t>页脚注明版本号、版本日期和页码</w:t>
      </w:r>
      <w:r>
        <w:rPr>
          <w:rFonts w:ascii="Times New Roman" w:hAnsi="Times New Roman"/>
          <w:szCs w:val="21"/>
        </w:rPr>
        <w:t>/</w:t>
      </w:r>
      <w:r>
        <w:rPr>
          <w:rFonts w:hint="eastAsia" w:ascii="Times New Roman" w:hAnsi="Times New Roman"/>
          <w:szCs w:val="21"/>
        </w:rPr>
        <w:t>总页数</w:t>
      </w:r>
      <w:r>
        <w:rPr>
          <w:rFonts w:hint="eastAsia" w:ascii="Times New Roman" w:hAnsi="Times New Roman"/>
        </w:rPr>
        <w:t>。</w:t>
      </w:r>
    </w:p>
    <w:p w14:paraId="268D7A58">
      <w:pPr>
        <w:pStyle w:val="19"/>
        <w:numPr>
          <w:ilvl w:val="0"/>
          <w:numId w:val="5"/>
        </w:numPr>
        <w:spacing w:line="440" w:lineRule="exact"/>
        <w:jc w:val="left"/>
        <w:rPr>
          <w:rFonts w:ascii="Times New Roman" w:hAnsi="Times New Roman"/>
        </w:rPr>
      </w:pPr>
      <w:r>
        <w:rPr>
          <w:rFonts w:hint="eastAsia" w:ascii="Times New Roman" w:hAnsi="Times New Roman"/>
        </w:rPr>
        <w:t>研究方案和知情同意书需符合国家GCP要求，主要研究者在将方案和知情同意书提交伦理审查前应和申办者充分讨论其科学问题和伦理问题。</w:t>
      </w:r>
    </w:p>
    <w:p w14:paraId="644C359F">
      <w:pPr>
        <w:pStyle w:val="19"/>
        <w:numPr>
          <w:ilvl w:val="0"/>
          <w:numId w:val="5"/>
        </w:numPr>
        <w:spacing w:line="440" w:lineRule="exact"/>
        <w:jc w:val="left"/>
        <w:rPr>
          <w:rFonts w:ascii="Times New Roman" w:hAnsi="Times New Roman"/>
        </w:rPr>
      </w:pPr>
      <w:r>
        <w:rPr>
          <w:rFonts w:hint="eastAsia" w:ascii="Times New Roman" w:hAnsi="Times New Roman"/>
        </w:rPr>
        <w:t>同一种药物若可治疗多种适应症，应针对每种适应症制订不同的研究方案，并分别提交伦理审查。</w:t>
      </w:r>
    </w:p>
    <w:p w14:paraId="608C15B3">
      <w:pPr>
        <w:pStyle w:val="19"/>
        <w:spacing w:line="440" w:lineRule="exact"/>
        <w:ind w:firstLine="420" w:firstLineChars="200"/>
        <w:jc w:val="left"/>
        <w:rPr>
          <w:rFonts w:ascii="Times New Roman" w:hAnsi="Times New Roman"/>
        </w:rPr>
      </w:pPr>
      <w:r>
        <w:rPr>
          <w:rFonts w:hint="eastAsia" w:ascii="Times New Roman" w:hAnsi="Times New Roman"/>
        </w:rPr>
        <w:t>（</w:t>
      </w:r>
      <w:r>
        <w:rPr>
          <w:rFonts w:hint="eastAsia" w:ascii="Times New Roman" w:hAnsi="Times New Roman"/>
          <w:lang w:val="en-US" w:eastAsia="zh-CN"/>
        </w:rPr>
        <w:t>6</w:t>
      </w:r>
      <w:r>
        <w:rPr>
          <w:rFonts w:hint="eastAsia" w:ascii="Times New Roman" w:hAnsi="Times New Roman"/>
        </w:rPr>
        <w:t>）填写申请</w:t>
      </w:r>
      <w:r>
        <w:rPr>
          <w:rFonts w:ascii="Times New Roman" w:hAnsi="Times New Roman"/>
        </w:rPr>
        <w:t>/</w:t>
      </w:r>
      <w:r>
        <w:rPr>
          <w:rFonts w:hint="eastAsia" w:ascii="Times New Roman" w:hAnsi="Times New Roman"/>
        </w:rPr>
        <w:t>报告的表格：根据伦理审查申请</w:t>
      </w:r>
      <w:r>
        <w:rPr>
          <w:rFonts w:ascii="Times New Roman" w:hAnsi="Times New Roman"/>
        </w:rPr>
        <w:t>/</w:t>
      </w:r>
      <w:r>
        <w:rPr>
          <w:rFonts w:hint="eastAsia" w:ascii="Times New Roman" w:hAnsi="Times New Roman"/>
        </w:rPr>
        <w:t>报告的类别，填写相应的“申请”， 申请报告需主要研究者签字</w:t>
      </w:r>
      <w:r>
        <w:rPr>
          <w:rFonts w:hint="eastAsia" w:ascii="Times New Roman" w:hAnsi="Times New Roman"/>
          <w:lang w:eastAsia="zh-CN"/>
        </w:rPr>
        <w:t>，</w:t>
      </w:r>
      <w:r>
        <w:rPr>
          <w:rFonts w:hint="eastAsia" w:ascii="Times New Roman" w:hAnsi="Times New Roman"/>
        </w:rPr>
        <w:t>并注明申办方联系人姓名、电话及邮箱地址。</w:t>
      </w:r>
    </w:p>
    <w:p w14:paraId="66DDE593">
      <w:pPr>
        <w:spacing w:line="440" w:lineRule="exact"/>
        <w:ind w:firstLine="420" w:firstLineChars="200"/>
        <w:rPr>
          <w:rFonts w:ascii="Times New Roman" w:hAnsi="Times New Roman"/>
          <w:szCs w:val="21"/>
        </w:rPr>
      </w:pPr>
      <w:r>
        <w:rPr>
          <w:rFonts w:hint="eastAsia" w:ascii="Times New Roman" w:hAnsi="Times New Roman"/>
        </w:rPr>
        <w:t>（</w:t>
      </w:r>
      <w:r>
        <w:rPr>
          <w:rFonts w:hint="eastAsia"/>
          <w:lang w:val="en-US" w:eastAsia="zh-CN"/>
        </w:rPr>
        <w:t>7</w:t>
      </w:r>
      <w:r>
        <w:rPr>
          <w:rFonts w:hint="eastAsia" w:ascii="Times New Roman" w:hAnsi="Times New Roman"/>
        </w:rPr>
        <w:t>）提交：</w:t>
      </w:r>
      <w:r>
        <w:rPr>
          <w:rFonts w:hint="eastAsia" w:ascii="Times New Roman" w:hAnsi="Times New Roman"/>
          <w:b w:val="0"/>
          <w:bCs/>
        </w:rPr>
        <w:t>提交PDF</w:t>
      </w:r>
      <w:r>
        <w:rPr>
          <w:rFonts w:hint="eastAsia" w:ascii="Times New Roman" w:hAnsi="Times New Roman"/>
          <w:b w:val="0"/>
          <w:bCs/>
          <w:szCs w:val="21"/>
        </w:rPr>
        <w:t>电子版资料1份及申请表纸质版1份。</w:t>
      </w:r>
    </w:p>
    <w:p w14:paraId="48E3BAF8">
      <w:pPr>
        <w:pStyle w:val="19"/>
        <w:spacing w:line="440" w:lineRule="exact"/>
        <w:ind w:firstLine="420" w:firstLineChars="200"/>
        <w:jc w:val="left"/>
        <w:rPr>
          <w:rFonts w:ascii="Times New Roman" w:hAnsi="Times New Roman"/>
        </w:rPr>
      </w:pPr>
      <w:r>
        <w:rPr>
          <w:rFonts w:ascii="Times New Roman" w:hAnsi="Times New Roman"/>
        </w:rPr>
        <w:t>2.</w:t>
      </w:r>
      <w:r>
        <w:rPr>
          <w:rFonts w:hint="eastAsia" w:ascii="Times New Roman" w:hAnsi="Times New Roman"/>
        </w:rPr>
        <w:t>审查会议前的准备</w:t>
      </w:r>
    </w:p>
    <w:p w14:paraId="438F36B3">
      <w:pPr>
        <w:pStyle w:val="19"/>
        <w:spacing w:line="440" w:lineRule="exact"/>
        <w:ind w:firstLine="420" w:firstLineChars="200"/>
        <w:jc w:val="left"/>
        <w:rPr>
          <w:rFonts w:ascii="Times New Roman" w:hAnsi="Times New Roman"/>
        </w:rPr>
      </w:pPr>
      <w:r>
        <w:rPr>
          <w:rFonts w:hint="eastAsia" w:ascii="Times New Roman" w:hAnsi="Times New Roman"/>
          <w:lang w:eastAsia="zh-CN"/>
        </w:rPr>
        <w:t>（1）</w:t>
      </w:r>
      <w:r>
        <w:rPr>
          <w:rFonts w:hint="eastAsia" w:ascii="Times New Roman" w:hAnsi="Times New Roman"/>
        </w:rPr>
        <w:t>伦理委员会办公室受理后，如果认为送审文件不完整，文件要素有缺陷，伦理委员会秘书将会在</w:t>
      </w:r>
      <w:r>
        <w:rPr>
          <w:rFonts w:ascii="Times New Roman" w:hAnsi="Times New Roman"/>
        </w:rPr>
        <w:t>现场或</w:t>
      </w:r>
      <w:r>
        <w:rPr>
          <w:rFonts w:hint="eastAsia" w:ascii="Times New Roman" w:hAnsi="Times New Roman"/>
        </w:rPr>
        <w:t>电话、电子邮件告知研究者</w:t>
      </w:r>
      <w:r>
        <w:rPr>
          <w:rFonts w:ascii="Times New Roman" w:hAnsi="Times New Roman"/>
        </w:rPr>
        <w:t>/</w:t>
      </w:r>
      <w:r>
        <w:rPr>
          <w:rFonts w:hint="eastAsia" w:ascii="Times New Roman" w:hAnsi="Times New Roman"/>
        </w:rPr>
        <w:t>申办方缺项文件、缺陷的要素，以及审查会议前的送审截止日期。</w:t>
      </w:r>
    </w:p>
    <w:p w14:paraId="4D7AF145">
      <w:pPr>
        <w:pStyle w:val="19"/>
        <w:spacing w:line="440" w:lineRule="exact"/>
        <w:ind w:firstLine="420" w:firstLineChars="200"/>
        <w:jc w:val="left"/>
        <w:rPr>
          <w:rFonts w:ascii="Times New Roman" w:hAnsi="Times New Roman"/>
        </w:rPr>
      </w:pPr>
      <w:r>
        <w:rPr>
          <w:rFonts w:hint="eastAsia" w:ascii="Times New Roman" w:hAnsi="Times New Roman"/>
          <w:lang w:eastAsia="zh-CN"/>
        </w:rPr>
        <w:t>（2）</w:t>
      </w:r>
      <w:r>
        <w:rPr>
          <w:rFonts w:hint="eastAsia" w:ascii="Times New Roman" w:hAnsi="Times New Roman"/>
        </w:rPr>
        <w:t>送审文件的完整性和要素通过形式审查，伦理委员会秘书将受理通知电子版通过邮箱/院内OA发送给研究者</w:t>
      </w:r>
      <w:r>
        <w:rPr>
          <w:rFonts w:ascii="Times New Roman" w:hAnsi="Times New Roman"/>
        </w:rPr>
        <w:t>/</w:t>
      </w:r>
      <w:r>
        <w:rPr>
          <w:rFonts w:hint="eastAsia" w:ascii="Times New Roman" w:hAnsi="Times New Roman"/>
        </w:rPr>
        <w:t>申办方，告知会议时间、地点等事项。</w:t>
      </w:r>
    </w:p>
    <w:p w14:paraId="0063C3A2">
      <w:pPr>
        <w:spacing w:line="440" w:lineRule="exact"/>
        <w:ind w:firstLine="420" w:firstLineChars="200"/>
        <w:rPr>
          <w:rFonts w:ascii="Times New Roman" w:hAnsi="Times New Roman"/>
          <w:b/>
          <w:szCs w:val="21"/>
        </w:rPr>
      </w:pPr>
      <w:r>
        <w:rPr>
          <w:rFonts w:hint="eastAsia"/>
          <w:lang w:eastAsia="zh-CN"/>
        </w:rPr>
        <w:t>（3）</w:t>
      </w:r>
      <w:r>
        <w:rPr>
          <w:rFonts w:hint="eastAsia" w:ascii="Times New Roman" w:hAnsi="Times New Roman"/>
        </w:rPr>
        <w:t>主要研究者准备会议汇报</w:t>
      </w:r>
      <w:r>
        <w:rPr>
          <w:rFonts w:ascii="Times New Roman" w:hAnsi="Times New Roman"/>
        </w:rPr>
        <w:t>PPT</w:t>
      </w:r>
      <w:r>
        <w:rPr>
          <w:rFonts w:hint="eastAsia" w:ascii="Times New Roman" w:hAnsi="Times New Roman"/>
        </w:rPr>
        <w:t>，并到会</w:t>
      </w:r>
      <w:r>
        <w:rPr>
          <w:rFonts w:hint="eastAsia" w:ascii="Times New Roman" w:hAnsi="Times New Roman"/>
          <w:szCs w:val="21"/>
        </w:rPr>
        <w:t>进行方案介绍和答疑，</w:t>
      </w:r>
      <w:r>
        <w:rPr>
          <w:rFonts w:hint="eastAsia" w:ascii="Times New Roman" w:hAnsi="Times New Roman"/>
        </w:rPr>
        <w:t>如有特殊原因不能亲自汇报者，须提前向伦理委员会办公室请假，并委派一位熟悉临床试验相关资料与文献的研究人员，汇报者须提前</w:t>
      </w:r>
      <w:r>
        <w:rPr>
          <w:rFonts w:ascii="Times New Roman" w:hAnsi="Times New Roman"/>
        </w:rPr>
        <w:t>1</w:t>
      </w:r>
      <w:r>
        <w:rPr>
          <w:rFonts w:hint="eastAsia" w:ascii="Times New Roman" w:hAnsi="Times New Roman"/>
        </w:rPr>
        <w:t>0分钟到达会场。</w:t>
      </w:r>
      <w:r>
        <w:rPr>
          <w:rFonts w:hint="eastAsia" w:ascii="Times New Roman" w:hAnsi="Times New Roman"/>
          <w:szCs w:val="21"/>
        </w:rPr>
        <w:t>多媒体汇报内容参照“伦理审查会汇报</w:t>
      </w:r>
      <w:r>
        <w:rPr>
          <w:rFonts w:ascii="Times New Roman" w:hAnsi="Times New Roman"/>
          <w:szCs w:val="21"/>
        </w:rPr>
        <w:t>PPT</w:t>
      </w:r>
      <w:r>
        <w:rPr>
          <w:rFonts w:hint="eastAsia" w:ascii="Times New Roman" w:hAnsi="Times New Roman"/>
          <w:szCs w:val="21"/>
        </w:rPr>
        <w:t>提纲”</w:t>
      </w:r>
      <w:r>
        <w:rPr>
          <w:rFonts w:hint="eastAsia"/>
          <w:szCs w:val="21"/>
          <w:lang w:eastAsia="zh-CN"/>
        </w:rPr>
        <w:t>，</w:t>
      </w:r>
      <w:r>
        <w:rPr>
          <w:rFonts w:hint="eastAsia" w:ascii="Times New Roman" w:hAnsi="Times New Roman"/>
          <w:szCs w:val="21"/>
        </w:rPr>
        <w:t>初始审查汇报</w:t>
      </w:r>
      <w:r>
        <w:rPr>
          <w:rFonts w:hint="eastAsia" w:ascii="Times New Roman" w:hAnsi="Times New Roman"/>
          <w:b w:val="0"/>
          <w:bCs w:val="0"/>
          <w:szCs w:val="21"/>
        </w:rPr>
        <w:t>PPT</w:t>
      </w:r>
      <w:r>
        <w:rPr>
          <w:rFonts w:hint="eastAsia" w:ascii="Times New Roman" w:hAnsi="Times New Roman"/>
          <w:szCs w:val="21"/>
        </w:rPr>
        <w:t>约15</w:t>
      </w:r>
      <w:r>
        <w:rPr>
          <w:rFonts w:hint="eastAsia"/>
          <w:szCs w:val="21"/>
          <w:lang w:eastAsia="zh-CN"/>
        </w:rPr>
        <w:t>—</w:t>
      </w:r>
      <w:r>
        <w:rPr>
          <w:rFonts w:hint="eastAsia" w:ascii="Times New Roman" w:hAnsi="Times New Roman"/>
          <w:szCs w:val="21"/>
        </w:rPr>
        <w:t>20张，跟踪审查约3</w:t>
      </w:r>
      <w:r>
        <w:rPr>
          <w:rFonts w:hint="eastAsia"/>
          <w:szCs w:val="21"/>
          <w:lang w:eastAsia="zh-CN"/>
        </w:rPr>
        <w:t>—</w:t>
      </w:r>
      <w:r>
        <w:rPr>
          <w:rFonts w:hint="eastAsia" w:ascii="Times New Roman" w:hAnsi="Times New Roman"/>
          <w:szCs w:val="21"/>
        </w:rPr>
        <w:t>5张。</w:t>
      </w:r>
    </w:p>
    <w:p w14:paraId="26BA1B08">
      <w:pPr>
        <w:spacing w:line="440" w:lineRule="exact"/>
        <w:ind w:firstLine="420" w:firstLineChars="200"/>
        <w:rPr>
          <w:rFonts w:ascii="Times New Roman" w:hAnsi="Times New Roman"/>
          <w:szCs w:val="21"/>
        </w:rPr>
      </w:pPr>
      <w:r>
        <w:rPr>
          <w:rFonts w:hint="eastAsia"/>
          <w:szCs w:val="21"/>
          <w:lang w:eastAsia="zh-CN"/>
        </w:rPr>
        <w:t>（4）</w:t>
      </w:r>
      <w:r>
        <w:rPr>
          <w:rFonts w:hint="eastAsia" w:ascii="Times New Roman" w:hAnsi="Times New Roman"/>
          <w:szCs w:val="21"/>
        </w:rPr>
        <w:t>请在会议召开</w:t>
      </w:r>
      <w:r>
        <w:rPr>
          <w:rFonts w:hint="eastAsia" w:ascii="Times New Roman" w:hAnsi="Times New Roman"/>
          <w:b w:val="0"/>
          <w:bCs/>
          <w:szCs w:val="21"/>
        </w:rPr>
        <w:t>前三天</w:t>
      </w:r>
      <w:r>
        <w:rPr>
          <w:rFonts w:hint="eastAsia" w:ascii="Times New Roman" w:hAnsi="Times New Roman"/>
          <w:szCs w:val="21"/>
        </w:rPr>
        <w:t>将会议报告</w:t>
      </w:r>
      <w:r>
        <w:rPr>
          <w:rFonts w:ascii="Times New Roman" w:hAnsi="Times New Roman"/>
          <w:szCs w:val="21"/>
        </w:rPr>
        <w:t>PPT</w:t>
      </w:r>
      <w:r>
        <w:rPr>
          <w:rFonts w:hint="eastAsia" w:ascii="Times New Roman" w:hAnsi="Times New Roman"/>
          <w:szCs w:val="21"/>
        </w:rPr>
        <w:t>电子版及汇报者姓名、联系电话发到zyefyGCP_EC</w:t>
      </w:r>
      <w:r>
        <w:rPr>
          <w:rFonts w:ascii="Times New Roman" w:hAnsi="Times New Roman"/>
          <w:szCs w:val="21"/>
        </w:rPr>
        <w:t>@163.com</w:t>
      </w:r>
      <w:r>
        <w:rPr>
          <w:rFonts w:hint="eastAsia" w:ascii="Times New Roman" w:hAnsi="Times New Roman"/>
          <w:szCs w:val="21"/>
        </w:rPr>
        <w:t>邮箱。</w:t>
      </w:r>
    </w:p>
    <w:p w14:paraId="1FF96914">
      <w:pPr>
        <w:pStyle w:val="13"/>
        <w:spacing w:before="174"/>
        <w:ind w:firstLine="480"/>
        <w:rPr>
          <w:rFonts w:hint="default" w:ascii="Times New Roman" w:hAnsi="Times New Roman"/>
        </w:rPr>
      </w:pPr>
      <w:r>
        <w:rPr>
          <w:rFonts w:ascii="Times New Roman" w:hAnsi="Times New Roman"/>
        </w:rPr>
        <w:t>四、伦理审查的时间</w:t>
      </w:r>
    </w:p>
    <w:p w14:paraId="59720888">
      <w:pPr>
        <w:pStyle w:val="19"/>
        <w:spacing w:line="440" w:lineRule="exact"/>
        <w:ind w:firstLine="420" w:firstLineChars="200"/>
        <w:jc w:val="left"/>
        <w:rPr>
          <w:rFonts w:ascii="Times New Roman" w:hAnsi="Times New Roman"/>
        </w:rPr>
      </w:pPr>
      <w:r>
        <w:rPr>
          <w:rFonts w:hint="eastAsia" w:ascii="Times New Roman" w:hAnsi="Times New Roman"/>
          <w:highlight w:val="none"/>
          <w:lang w:val="en-US" w:eastAsia="zh-CN"/>
        </w:rPr>
        <w:t>伦理委员会在受理项目后30天内开展伦理审查并出具审查意见，在召开会议前7个工作日通知会议时间</w:t>
      </w:r>
      <w:r>
        <w:rPr>
          <w:rFonts w:hint="eastAsia" w:ascii="Times New Roman" w:hAnsi="Times New Roman"/>
          <w:highlight w:val="none"/>
        </w:rPr>
        <w:t>，同时</w:t>
      </w:r>
      <w:r>
        <w:rPr>
          <w:rFonts w:hint="eastAsia" w:ascii="Times New Roman" w:hAnsi="Times New Roman"/>
          <w:highlight w:val="none"/>
          <w:lang w:val="en-US" w:eastAsia="zh-CN"/>
        </w:rPr>
        <w:t>本月</w:t>
      </w:r>
      <w:r>
        <w:rPr>
          <w:rFonts w:hint="eastAsia" w:ascii="Times New Roman" w:hAnsi="Times New Roman"/>
          <w:highlight w:val="none"/>
        </w:rPr>
        <w:t>截止受理</w:t>
      </w:r>
      <w:r>
        <w:rPr>
          <w:rFonts w:hint="eastAsia" w:ascii="Times New Roman" w:hAnsi="Times New Roman"/>
          <w:highlight w:val="none"/>
          <w:lang w:val="en-US" w:eastAsia="zh-CN"/>
        </w:rPr>
        <w:t>其他</w:t>
      </w:r>
      <w:r>
        <w:rPr>
          <w:rFonts w:hint="eastAsia" w:ascii="Times New Roman" w:hAnsi="Times New Roman"/>
          <w:highlight w:val="none"/>
        </w:rPr>
        <w:t>项目。</w:t>
      </w:r>
    </w:p>
    <w:p w14:paraId="307BB132">
      <w:pPr>
        <w:pStyle w:val="19"/>
        <w:spacing w:line="440" w:lineRule="exact"/>
        <w:ind w:firstLine="420" w:firstLineChars="200"/>
        <w:jc w:val="left"/>
        <w:rPr>
          <w:rFonts w:ascii="Times New Roman" w:hAnsi="Times New Roman"/>
        </w:rPr>
      </w:pPr>
      <w:r>
        <w:rPr>
          <w:rFonts w:hint="eastAsia" w:ascii="Times New Roman" w:hAnsi="Times New Roman"/>
        </w:rPr>
        <w:t>研究过程中出现重大或严重问题，危及受试者安全时，或发生其他需要伦理委员会召开会议进行紧急审查和决定的情况，伦理委员会将召开紧急会议进行审查。</w:t>
      </w:r>
    </w:p>
    <w:p w14:paraId="7F904AD3">
      <w:pPr>
        <w:pStyle w:val="13"/>
        <w:spacing w:before="174"/>
        <w:ind w:firstLine="480"/>
        <w:rPr>
          <w:rFonts w:hint="default" w:ascii="Times New Roman" w:hAnsi="Times New Roman"/>
        </w:rPr>
      </w:pPr>
      <w:r>
        <w:rPr>
          <w:rFonts w:ascii="Times New Roman" w:hAnsi="Times New Roman"/>
        </w:rPr>
        <w:t>五、审查决定的传达</w:t>
      </w:r>
    </w:p>
    <w:p w14:paraId="0B9ED112">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 xml:space="preserve"> </w:t>
      </w:r>
      <w:r>
        <w:rPr>
          <w:rFonts w:hint="eastAsia" w:ascii="Times New Roman" w:hAnsi="Times New Roman"/>
        </w:rPr>
        <w:t>会议审查：伦理委员会秘书在伦理委员会做出审查决定后</w:t>
      </w:r>
      <w:r>
        <w:rPr>
          <w:rFonts w:ascii="Times New Roman" w:hAnsi="Times New Roman"/>
        </w:rPr>
        <w:t>5</w:t>
      </w:r>
      <w:r>
        <w:rPr>
          <w:rFonts w:hint="eastAsia" w:ascii="Times New Roman" w:hAnsi="Times New Roman"/>
        </w:rPr>
        <w:t>个工作日内，以“伦理审查意见”的书面方式传达审查决定。</w:t>
      </w:r>
    </w:p>
    <w:p w14:paraId="01AC75CD">
      <w:pPr>
        <w:pStyle w:val="19"/>
        <w:spacing w:line="440" w:lineRule="exact"/>
        <w:ind w:firstLine="420" w:firstLineChars="200"/>
        <w:jc w:val="left"/>
        <w:rPr>
          <w:rFonts w:ascii="Times New Roman" w:hAnsi="Times New Roman"/>
        </w:rPr>
      </w:pPr>
      <w:r>
        <w:rPr>
          <w:rFonts w:hint="eastAsia" w:ascii="Times New Roman" w:hAnsi="Times New Roman"/>
          <w:szCs w:val="21"/>
          <w:lang w:eastAsia="zh-CN"/>
        </w:rPr>
        <w:t>（2）</w:t>
      </w:r>
      <w:r>
        <w:rPr>
          <w:rFonts w:hint="eastAsia" w:ascii="Times New Roman" w:hAnsi="Times New Roman"/>
          <w:szCs w:val="21"/>
        </w:rPr>
        <w:t>快速审查：项目受理</w:t>
      </w:r>
      <w:r>
        <w:rPr>
          <w:rFonts w:hint="eastAsia" w:ascii="Times New Roman" w:hAnsi="Times New Roman"/>
          <w:szCs w:val="21"/>
          <w:lang w:val="en-US" w:eastAsia="zh-CN"/>
        </w:rPr>
        <w:t>并</w:t>
      </w:r>
      <w:r>
        <w:rPr>
          <w:rFonts w:hint="eastAsia" w:ascii="Times New Roman" w:hAnsi="Times New Roman"/>
          <w:szCs w:val="21"/>
        </w:rPr>
        <w:t>作出审查决定</w:t>
      </w:r>
      <w:r>
        <w:rPr>
          <w:rFonts w:hint="eastAsia" w:ascii="Times New Roman" w:hAnsi="Times New Roman"/>
          <w:szCs w:val="21"/>
          <w:lang w:val="en-US" w:eastAsia="zh-CN"/>
        </w:rPr>
        <w:t>后3个工作日</w:t>
      </w:r>
      <w:r>
        <w:rPr>
          <w:rFonts w:hint="eastAsia" w:ascii="Times New Roman" w:hAnsi="Times New Roman"/>
          <w:szCs w:val="21"/>
        </w:rPr>
        <w:t>，以</w:t>
      </w:r>
      <w:r>
        <w:rPr>
          <w:rFonts w:hint="eastAsia" w:ascii="Times New Roman" w:hAnsi="Times New Roman"/>
        </w:rPr>
        <w:t>“伦理审查意见”的书面方式传达审查决定。</w:t>
      </w:r>
    </w:p>
    <w:p w14:paraId="4B482D2A">
      <w:pPr>
        <w:pStyle w:val="19"/>
        <w:spacing w:line="440" w:lineRule="exact"/>
        <w:ind w:firstLine="420" w:firstLineChars="200"/>
        <w:jc w:val="left"/>
        <w:rPr>
          <w:rFonts w:ascii="Times New Roman" w:hAnsi="Times New Roman"/>
          <w:szCs w:val="21"/>
        </w:rPr>
      </w:pPr>
      <w:r>
        <w:rPr>
          <w:rFonts w:hint="eastAsia" w:ascii="Times New Roman" w:hAnsi="Times New Roman"/>
          <w:lang w:eastAsia="zh-CN"/>
        </w:rPr>
        <w:t>（3）</w:t>
      </w:r>
      <w:r>
        <w:rPr>
          <w:rFonts w:hint="eastAsia" w:ascii="Times New Roman" w:hAnsi="Times New Roman"/>
          <w:szCs w:val="21"/>
        </w:rPr>
        <w:t>如果审查意见为肯定性决定</w:t>
      </w:r>
      <w:r>
        <w:rPr>
          <w:rFonts w:hint="eastAsia" w:ascii="Times New Roman" w:hAnsi="Times New Roman"/>
          <w:szCs w:val="21"/>
          <w:lang w:eastAsia="zh-CN"/>
        </w:rPr>
        <w:t>（</w:t>
      </w:r>
      <w:r>
        <w:rPr>
          <w:rFonts w:hint="eastAsia" w:ascii="Times New Roman" w:hAnsi="Times New Roman"/>
          <w:szCs w:val="21"/>
        </w:rPr>
        <w:t>同意继续研究，或不需要采取进一步的措施</w:t>
      </w:r>
      <w:r>
        <w:rPr>
          <w:rFonts w:hint="eastAsia" w:ascii="Times New Roman" w:hAnsi="Times New Roman"/>
          <w:szCs w:val="21"/>
          <w:lang w:eastAsia="zh-CN"/>
        </w:rPr>
        <w:t>）</w:t>
      </w:r>
      <w:r>
        <w:rPr>
          <w:rFonts w:ascii="Times New Roman" w:hAnsi="Times New Roman"/>
          <w:szCs w:val="21"/>
        </w:rPr>
        <w:t xml:space="preserve"> </w:t>
      </w:r>
      <w:r>
        <w:rPr>
          <w:rFonts w:hint="eastAsia" w:ascii="Times New Roman" w:hAnsi="Times New Roman"/>
          <w:szCs w:val="21"/>
        </w:rPr>
        <w:t>，并且审查类别属于本院SUSAR审查，违背方案审查，暂停</w:t>
      </w:r>
      <w:r>
        <w:rPr>
          <w:rFonts w:ascii="Times New Roman" w:hAnsi="Times New Roman"/>
          <w:szCs w:val="21"/>
        </w:rPr>
        <w:t>/</w:t>
      </w:r>
      <w:r>
        <w:rPr>
          <w:rFonts w:hint="eastAsia" w:ascii="Times New Roman" w:hAnsi="Times New Roman"/>
          <w:szCs w:val="21"/>
        </w:rPr>
        <w:t>终止研究审查，研究完成审查，</w:t>
      </w:r>
      <w:r>
        <w:rPr>
          <w:rFonts w:ascii="Times New Roman" w:hAnsi="Times New Roman"/>
          <w:szCs w:val="21"/>
        </w:rPr>
        <w:t xml:space="preserve"> </w:t>
      </w:r>
      <w:r>
        <w:rPr>
          <w:rFonts w:hint="eastAsia" w:ascii="Times New Roman" w:hAnsi="Times New Roman"/>
          <w:szCs w:val="21"/>
        </w:rPr>
        <w:t>以及上述审查类别审查后的复审，伦理委员会的决定可以不传达，也可以传达。申请人在伦理委员会受理送审材料后三个月没有收到伦理委员会的审查意见，视作伦理审查意见为“同意”或“不需要采取进一步的措施”。</w:t>
      </w:r>
    </w:p>
    <w:p w14:paraId="2A30D502">
      <w:pPr>
        <w:pStyle w:val="13"/>
        <w:spacing w:before="174"/>
        <w:ind w:firstLine="480"/>
        <w:rPr>
          <w:rFonts w:hint="default" w:ascii="Times New Roman" w:hAnsi="Times New Roman"/>
        </w:rPr>
      </w:pPr>
      <w:r>
        <w:rPr>
          <w:rFonts w:ascii="Times New Roman" w:hAnsi="Times New Roman"/>
        </w:rPr>
        <w:t>六、伦理审查费用</w:t>
      </w:r>
    </w:p>
    <w:p w14:paraId="7D71EA06">
      <w:pPr>
        <w:pStyle w:val="19"/>
        <w:numPr>
          <w:ilvl w:val="0"/>
          <w:numId w:val="6"/>
        </w:numPr>
        <w:spacing w:line="440" w:lineRule="exact"/>
        <w:jc w:val="left"/>
        <w:rPr>
          <w:rFonts w:ascii="Times New Roman" w:hAnsi="Times New Roman"/>
        </w:rPr>
      </w:pPr>
      <w:r>
        <w:rPr>
          <w:rFonts w:hint="eastAsia" w:ascii="Times New Roman" w:hAnsi="Times New Roman"/>
        </w:rPr>
        <w:t>初始审查项目：50</w:t>
      </w:r>
      <w:r>
        <w:rPr>
          <w:rFonts w:hint="eastAsia" w:ascii="Times New Roman" w:hAnsi="Times New Roman"/>
          <w:lang w:val="en-US" w:eastAsia="zh-CN"/>
        </w:rPr>
        <w:t>5</w:t>
      </w:r>
      <w:r>
        <w:rPr>
          <w:rFonts w:hint="eastAsia" w:ascii="Times New Roman" w:hAnsi="Times New Roman"/>
        </w:rPr>
        <w:t>0元/项（含税）；</w:t>
      </w:r>
    </w:p>
    <w:p w14:paraId="4249341C">
      <w:pPr>
        <w:pStyle w:val="19"/>
        <w:numPr>
          <w:ilvl w:val="0"/>
          <w:numId w:val="6"/>
        </w:numPr>
        <w:spacing w:line="440" w:lineRule="exact"/>
        <w:jc w:val="left"/>
        <w:rPr>
          <w:rFonts w:ascii="Times New Roman" w:hAnsi="Times New Roman"/>
        </w:rPr>
      </w:pPr>
      <w:r>
        <w:rPr>
          <w:rFonts w:hint="eastAsia" w:ascii="Times New Roman" w:hAnsi="Times New Roman"/>
        </w:rPr>
        <w:t>修正案审查项目：20</w:t>
      </w:r>
      <w:r>
        <w:rPr>
          <w:rFonts w:hint="eastAsia" w:ascii="Times New Roman" w:hAnsi="Times New Roman"/>
          <w:lang w:val="en-US" w:eastAsia="zh-CN"/>
        </w:rPr>
        <w:t>2</w:t>
      </w:r>
      <w:r>
        <w:rPr>
          <w:rFonts w:hint="eastAsia" w:ascii="Times New Roman" w:hAnsi="Times New Roman"/>
        </w:rPr>
        <w:t>0元/项（含税）</w:t>
      </w:r>
      <w:r>
        <w:rPr>
          <w:rFonts w:hint="eastAsia" w:ascii="Times New Roman" w:hAnsi="Times New Roman"/>
          <w:lang w:eastAsia="zh-CN"/>
        </w:rPr>
        <w:t>；</w:t>
      </w:r>
    </w:p>
    <w:p w14:paraId="27CB327A">
      <w:pPr>
        <w:pStyle w:val="19"/>
        <w:numPr>
          <w:ilvl w:val="0"/>
          <w:numId w:val="6"/>
        </w:numPr>
        <w:spacing w:line="440" w:lineRule="exact"/>
        <w:jc w:val="left"/>
        <w:rPr>
          <w:rFonts w:ascii="Times New Roman" w:hAnsi="Times New Roman"/>
          <w:highlight w:val="none"/>
        </w:rPr>
      </w:pPr>
      <w:r>
        <w:rPr>
          <w:rFonts w:hint="eastAsia" w:ascii="Times New Roman" w:hAnsi="Times New Roman" w:cs="Tahoma"/>
          <w:highlight w:val="none"/>
          <w:shd w:val="clear" w:color="auto" w:fill="FFFFFF"/>
        </w:rPr>
        <w:t>复审、结题、年度/定期跟踪审查（2次以内）；暂停/终止、安全性审查</w:t>
      </w:r>
      <w:r>
        <w:rPr>
          <w:rFonts w:hint="eastAsia" w:ascii="Times New Roman" w:hAnsi="Times New Roman" w:cs="Tahoma"/>
          <w:highlight w:val="none"/>
          <w:shd w:val="clear" w:color="auto" w:fill="FFFFFF"/>
          <w:lang w:val="en-US" w:eastAsia="zh-CN"/>
        </w:rPr>
        <w:t>(</w:t>
      </w:r>
      <w:r>
        <w:rPr>
          <w:rFonts w:hint="eastAsia" w:ascii="Times New Roman" w:hAnsi="Times New Roman" w:cs="Tahoma"/>
          <w:highlight w:val="none"/>
          <w:shd w:val="clear" w:color="auto" w:fill="FFFFFF"/>
        </w:rPr>
        <w:t>S</w:t>
      </w:r>
      <w:r>
        <w:rPr>
          <w:rFonts w:ascii="Times New Roman" w:hAnsi="Times New Roman" w:cs="Tahoma"/>
          <w:highlight w:val="none"/>
          <w:shd w:val="clear" w:color="auto" w:fill="FFFFFF"/>
        </w:rPr>
        <w:t>AE/SUSAR/DSUR</w:t>
      </w:r>
      <w:r>
        <w:rPr>
          <w:rFonts w:hint="eastAsia" w:ascii="Times New Roman" w:hAnsi="Times New Roman" w:cs="Tahoma"/>
          <w:highlight w:val="none"/>
          <w:shd w:val="clear" w:color="auto" w:fill="FFFFFF"/>
          <w:lang w:val="en-US" w:eastAsia="zh-CN"/>
        </w:rPr>
        <w:t>)</w:t>
      </w:r>
      <w:r>
        <w:rPr>
          <w:rFonts w:hint="eastAsia" w:ascii="Times New Roman" w:hAnsi="Times New Roman" w:cs="Tahoma"/>
          <w:highlight w:val="none"/>
          <w:shd w:val="clear" w:color="auto" w:fill="FFFFFF"/>
        </w:rPr>
        <w:t>和方案违背（2次以内）审查类别不额外收费，超过2次以上10</w:t>
      </w:r>
      <w:r>
        <w:rPr>
          <w:rFonts w:hint="eastAsia" w:ascii="Times New Roman" w:hAnsi="Times New Roman" w:cs="Tahoma"/>
          <w:highlight w:val="none"/>
          <w:shd w:val="clear" w:color="auto" w:fill="FFFFFF"/>
          <w:lang w:val="en-US" w:eastAsia="zh-CN"/>
        </w:rPr>
        <w:t>1</w:t>
      </w:r>
      <w:r>
        <w:rPr>
          <w:rFonts w:hint="eastAsia" w:ascii="Times New Roman" w:hAnsi="Times New Roman" w:cs="Tahoma"/>
          <w:highlight w:val="none"/>
          <w:shd w:val="clear" w:color="auto" w:fill="FFFFFF"/>
        </w:rPr>
        <w:t>0.00元/次</w:t>
      </w:r>
      <w:r>
        <w:rPr>
          <w:rFonts w:hint="eastAsia" w:ascii="Times New Roman" w:hAnsi="Times New Roman"/>
        </w:rPr>
        <w:t>（含税）</w:t>
      </w:r>
      <w:r>
        <w:rPr>
          <w:rFonts w:ascii="Times New Roman" w:hAnsi="Times New Roman" w:cs="Tahoma"/>
          <w:highlight w:val="none"/>
          <w:shd w:val="clear" w:color="auto" w:fill="FFFFFF"/>
        </w:rPr>
        <w:t>。</w:t>
      </w:r>
    </w:p>
    <w:p w14:paraId="40F087C3">
      <w:pPr>
        <w:pStyle w:val="19"/>
        <w:numPr>
          <w:ilvl w:val="0"/>
          <w:numId w:val="6"/>
        </w:numPr>
        <w:spacing w:line="440" w:lineRule="exact"/>
        <w:jc w:val="left"/>
        <w:rPr>
          <w:rFonts w:ascii="Times New Roman" w:hAnsi="Times New Roman"/>
        </w:rPr>
      </w:pPr>
      <w:r>
        <w:rPr>
          <w:rFonts w:hint="eastAsia" w:ascii="Times New Roman" w:hAnsi="Times New Roman"/>
        </w:rPr>
        <w:t>伦理审查费用归医院财务部统一管理。</w:t>
      </w:r>
      <w:bookmarkStart w:id="0" w:name="_GoBack"/>
      <w:bookmarkEnd w:id="0"/>
    </w:p>
    <w:p w14:paraId="2A7880BB">
      <w:pPr>
        <w:pStyle w:val="19"/>
        <w:spacing w:line="440" w:lineRule="exact"/>
        <w:ind w:left="964"/>
        <w:jc w:val="left"/>
        <w:rPr>
          <w:rFonts w:ascii="Times New Roman" w:hAnsi="Times New Roman"/>
        </w:rPr>
      </w:pPr>
      <w:r>
        <w:rPr>
          <w:rFonts w:hint="eastAsia" w:ascii="Times New Roman" w:hAnsi="Times New Roman"/>
        </w:rPr>
        <w:t>交纳账户</w:t>
      </w:r>
      <w:r>
        <w:rPr>
          <w:rFonts w:hint="eastAsia" w:ascii="Times New Roman" w:hAnsi="Times New Roman"/>
          <w:szCs w:val="21"/>
        </w:rPr>
        <w:t>开户银行：中国工商银行遵义京华支行；</w:t>
      </w:r>
    </w:p>
    <w:p w14:paraId="7BE6B7A2">
      <w:pPr>
        <w:pStyle w:val="19"/>
        <w:spacing w:line="440" w:lineRule="exact"/>
        <w:ind w:left="964"/>
        <w:jc w:val="left"/>
        <w:rPr>
          <w:rFonts w:ascii="Times New Roman" w:hAnsi="Times New Roman"/>
        </w:rPr>
      </w:pPr>
      <w:r>
        <w:rPr>
          <w:rFonts w:hint="eastAsia" w:ascii="Times New Roman" w:hAnsi="Times New Roman"/>
          <w:szCs w:val="21"/>
        </w:rPr>
        <w:t>开户名称：遵义医科大学第二附属医院；</w:t>
      </w:r>
    </w:p>
    <w:p w14:paraId="71FF52CD">
      <w:pPr>
        <w:pStyle w:val="19"/>
        <w:spacing w:line="440" w:lineRule="exact"/>
        <w:ind w:left="964"/>
        <w:jc w:val="left"/>
        <w:rPr>
          <w:rFonts w:ascii="Times New Roman" w:hAnsi="Times New Roman"/>
        </w:rPr>
      </w:pPr>
      <w:r>
        <w:rPr>
          <w:rFonts w:hint="eastAsia" w:ascii="Times New Roman" w:hAnsi="Times New Roman"/>
          <w:szCs w:val="21"/>
          <w:lang w:eastAsia="zh-CN"/>
        </w:rPr>
        <w:t>账号</w:t>
      </w:r>
      <w:r>
        <w:rPr>
          <w:rFonts w:hint="eastAsia" w:ascii="Times New Roman" w:hAnsi="Times New Roman"/>
          <w:szCs w:val="21"/>
        </w:rPr>
        <w:t>：2403021609200145290</w:t>
      </w:r>
    </w:p>
    <w:p w14:paraId="2A59B895">
      <w:pPr>
        <w:pStyle w:val="13"/>
        <w:spacing w:before="174"/>
        <w:ind w:firstLine="480"/>
        <w:rPr>
          <w:rFonts w:hint="default" w:ascii="Times New Roman" w:hAnsi="Times New Roman"/>
        </w:rPr>
      </w:pPr>
      <w:r>
        <w:rPr>
          <w:rFonts w:ascii="Times New Roman" w:hAnsi="Times New Roman"/>
        </w:rPr>
        <w:t>七、免除知情同意</w:t>
      </w:r>
    </w:p>
    <w:p w14:paraId="668E6A86">
      <w:pPr>
        <w:pStyle w:val="19"/>
        <w:spacing w:line="440" w:lineRule="exact"/>
        <w:ind w:firstLine="420" w:firstLineChars="200"/>
        <w:jc w:val="left"/>
        <w:rPr>
          <w:rFonts w:ascii="Times New Roman" w:hAnsi="Times New Roman"/>
        </w:rPr>
      </w:pPr>
      <w:r>
        <w:rPr>
          <w:rFonts w:ascii="Times New Roman" w:hAnsi="Times New Roman"/>
        </w:rPr>
        <w:t>1.</w:t>
      </w:r>
      <w:r>
        <w:rPr>
          <w:rFonts w:hint="eastAsia" w:ascii="Times New Roman" w:hAnsi="Times New Roman"/>
        </w:rPr>
        <w:t>利用以往临床诊疗中获得的医疗记录和生物标本的研究，并且符合以下全部条件，可以申请免除知情同意。</w:t>
      </w:r>
    </w:p>
    <w:p w14:paraId="5474384B">
      <w:pPr>
        <w:pStyle w:val="19"/>
        <w:spacing w:line="440" w:lineRule="exact"/>
        <w:ind w:firstLine="420" w:firstLineChars="200"/>
        <w:jc w:val="left"/>
        <w:rPr>
          <w:rFonts w:ascii="Times New Roman" w:hAnsi="Times New Roman"/>
        </w:rPr>
      </w:pPr>
      <w:r>
        <w:rPr>
          <w:rFonts w:hint="eastAsia" w:ascii="Times New Roman" w:hAnsi="Times New Roman"/>
          <w:lang w:eastAsia="zh-CN"/>
        </w:rPr>
        <w:t>（1）</w:t>
      </w:r>
      <w:r>
        <w:rPr>
          <w:rFonts w:hint="eastAsia" w:ascii="Times New Roman" w:hAnsi="Times New Roman"/>
        </w:rPr>
        <w:t>研究目的是重要的。</w:t>
      </w:r>
    </w:p>
    <w:p w14:paraId="3E99C28C">
      <w:pPr>
        <w:pStyle w:val="19"/>
        <w:spacing w:line="440" w:lineRule="exact"/>
        <w:ind w:firstLine="420" w:firstLineChars="200"/>
        <w:jc w:val="left"/>
        <w:rPr>
          <w:rFonts w:ascii="Times New Roman" w:hAnsi="Times New Roman"/>
        </w:rPr>
      </w:pPr>
      <w:r>
        <w:rPr>
          <w:rFonts w:hint="eastAsia" w:ascii="Times New Roman" w:hAnsi="Times New Roman"/>
          <w:lang w:eastAsia="zh-CN"/>
        </w:rPr>
        <w:t>（2）</w:t>
      </w:r>
      <w:r>
        <w:rPr>
          <w:rFonts w:hint="eastAsia" w:ascii="Times New Roman" w:hAnsi="Times New Roman"/>
        </w:rPr>
        <w:t>研究对受试者的风险不大于最小风险。</w:t>
      </w:r>
    </w:p>
    <w:p w14:paraId="0635274E">
      <w:pPr>
        <w:pStyle w:val="19"/>
        <w:spacing w:line="440" w:lineRule="exact"/>
        <w:ind w:firstLine="420" w:firstLineChars="200"/>
        <w:jc w:val="left"/>
        <w:rPr>
          <w:rFonts w:ascii="Times New Roman" w:hAnsi="Times New Roman"/>
        </w:rPr>
      </w:pPr>
      <w:r>
        <w:rPr>
          <w:rFonts w:hint="eastAsia" w:ascii="Times New Roman" w:hAnsi="Times New Roman"/>
          <w:lang w:eastAsia="zh-CN"/>
        </w:rPr>
        <w:t>（3）</w:t>
      </w:r>
      <w:r>
        <w:rPr>
          <w:rFonts w:hint="eastAsia" w:ascii="Times New Roman" w:hAnsi="Times New Roman"/>
        </w:rPr>
        <w:t>免除知情同意不会对受试者的权力和健康产生不利的影响。</w:t>
      </w:r>
    </w:p>
    <w:p w14:paraId="23B59FE2">
      <w:pPr>
        <w:pStyle w:val="19"/>
        <w:spacing w:line="440" w:lineRule="exact"/>
        <w:ind w:firstLine="420" w:firstLineChars="200"/>
        <w:jc w:val="left"/>
        <w:rPr>
          <w:rFonts w:ascii="Times New Roman" w:hAnsi="Times New Roman"/>
        </w:rPr>
      </w:pPr>
      <w:r>
        <w:rPr>
          <w:rFonts w:hint="eastAsia" w:ascii="Times New Roman" w:hAnsi="Times New Roman"/>
          <w:lang w:eastAsia="zh-CN"/>
        </w:rPr>
        <w:t>（4）</w:t>
      </w:r>
      <w:r>
        <w:rPr>
          <w:rFonts w:hint="eastAsia" w:ascii="Times New Roman" w:hAnsi="Times New Roman"/>
        </w:rPr>
        <w:t>受试者的隐私和个人身份信息得到保护。</w:t>
      </w:r>
    </w:p>
    <w:p w14:paraId="3ED0CE81">
      <w:pPr>
        <w:pStyle w:val="19"/>
        <w:spacing w:line="440" w:lineRule="exact"/>
        <w:ind w:firstLine="420" w:firstLineChars="200"/>
        <w:jc w:val="left"/>
        <w:rPr>
          <w:rFonts w:ascii="Times New Roman" w:hAnsi="Times New Roman"/>
        </w:rPr>
      </w:pPr>
      <w:r>
        <w:rPr>
          <w:rFonts w:hint="eastAsia" w:ascii="Times New Roman" w:hAnsi="Times New Roman"/>
          <w:lang w:eastAsia="zh-CN"/>
        </w:rPr>
        <w:t>（5）</w:t>
      </w:r>
      <w:r>
        <w:rPr>
          <w:rFonts w:hint="eastAsia" w:ascii="Times New Roman" w:hAnsi="Times New Roman"/>
        </w:rPr>
        <w:t>若规定需获取知情同意，研究将无法进行（病人</w:t>
      </w:r>
      <w:r>
        <w:rPr>
          <w:rFonts w:ascii="Times New Roman" w:hAnsi="Times New Roman"/>
        </w:rPr>
        <w:t>/</w:t>
      </w:r>
      <w:r>
        <w:rPr>
          <w:rFonts w:hint="eastAsia" w:ascii="Times New Roman" w:hAnsi="Times New Roman"/>
        </w:rPr>
        <w:t>受试者拒绝或不同意参加研究，不是研究无法实施、免除知情同意的理由）。</w:t>
      </w:r>
    </w:p>
    <w:p w14:paraId="64BF08BB">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6</w:t>
      </w:r>
      <w:r>
        <w:rPr>
          <w:rFonts w:hint="eastAsia" w:ascii="Times New Roman" w:hAnsi="Times New Roman"/>
        </w:rPr>
        <w:t>）只要有可能，应在研究后的适当时候向受试者提供适当的有关信息。</w:t>
      </w:r>
    </w:p>
    <w:p w14:paraId="64C25D84">
      <w:pPr>
        <w:pStyle w:val="19"/>
        <w:spacing w:line="440" w:lineRule="exact"/>
        <w:ind w:firstLine="420" w:firstLineChars="200"/>
        <w:jc w:val="left"/>
        <w:rPr>
          <w:rFonts w:ascii="Times New Roman" w:hAnsi="Times New Roman"/>
        </w:rPr>
      </w:pPr>
      <w:r>
        <w:rPr>
          <w:rFonts w:hint="eastAsia" w:ascii="Times New Roman" w:hAnsi="Times New Roman"/>
        </w:rPr>
        <w:t>若病人</w:t>
      </w:r>
      <w:r>
        <w:rPr>
          <w:rFonts w:ascii="Times New Roman" w:hAnsi="Times New Roman"/>
        </w:rPr>
        <w:t>/</w:t>
      </w:r>
      <w:r>
        <w:rPr>
          <w:rFonts w:hint="eastAsia" w:ascii="Times New Roman" w:hAnsi="Times New Roman"/>
        </w:rPr>
        <w:t>受试者先前已明确拒绝在将来的研究中使用其医疗记录和标本，则该受试者的医疗记录和标本只有在公共卫生紧急需要时才可被使用。</w:t>
      </w:r>
    </w:p>
    <w:p w14:paraId="43A5C5C5">
      <w:pPr>
        <w:pStyle w:val="19"/>
        <w:spacing w:line="440" w:lineRule="exact"/>
        <w:ind w:firstLine="420" w:firstLineChars="200"/>
        <w:jc w:val="left"/>
        <w:rPr>
          <w:rFonts w:ascii="Times New Roman" w:hAnsi="Times New Roman"/>
        </w:rPr>
      </w:pPr>
      <w:r>
        <w:rPr>
          <w:rFonts w:ascii="Times New Roman" w:hAnsi="Times New Roman"/>
        </w:rPr>
        <w:t>2.</w:t>
      </w:r>
      <w:r>
        <w:rPr>
          <w:rFonts w:hint="eastAsia" w:ascii="Times New Roman" w:hAnsi="Times New Roman"/>
        </w:rPr>
        <w:t>利用以往研究中获得的医疗记录和生物标本研究（研究病历</w:t>
      </w:r>
      <w:r>
        <w:rPr>
          <w:rFonts w:ascii="Times New Roman" w:hAnsi="Times New Roman"/>
        </w:rPr>
        <w:t>/</w:t>
      </w:r>
      <w:r>
        <w:rPr>
          <w:rFonts w:hint="eastAsia" w:ascii="Times New Roman" w:hAnsi="Times New Roman"/>
        </w:rPr>
        <w:t>生物标本的二次利用），并且符合以下全部条件，可以申请免除知情同意。</w:t>
      </w:r>
    </w:p>
    <w:p w14:paraId="7B3D8E42">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）以往研究已获得受试者的书面同意，允许其他的研究项目使用其病历或标本。</w:t>
      </w:r>
    </w:p>
    <w:p w14:paraId="792E4A81">
      <w:pPr>
        <w:pStyle w:val="19"/>
        <w:spacing w:line="440" w:lineRule="exact"/>
        <w:ind w:firstLine="420" w:firstLineChars="200"/>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）本次研究符合原知情同意的许可条件。</w:t>
      </w:r>
    </w:p>
    <w:p w14:paraId="447F5310">
      <w:pPr>
        <w:pStyle w:val="19"/>
        <w:spacing w:line="440" w:lineRule="exact"/>
        <w:ind w:firstLine="420" w:firstLineChars="200"/>
        <w:jc w:val="left"/>
        <w:rPr>
          <w:rFonts w:ascii="Times New Roman" w:hAnsi="Times New Roman"/>
        </w:rPr>
      </w:pPr>
      <w:r>
        <w:rPr>
          <w:rFonts w:hint="eastAsia" w:ascii="Times New Roman" w:hAnsi="Times New Roman"/>
          <w:lang w:eastAsia="zh-CN"/>
        </w:rPr>
        <w:t>（3）</w:t>
      </w:r>
      <w:r>
        <w:rPr>
          <w:rFonts w:hint="eastAsia" w:ascii="Times New Roman" w:hAnsi="Times New Roman"/>
        </w:rPr>
        <w:t>受试者的隐私和身份信息的保密得到保证。</w:t>
      </w:r>
    </w:p>
    <w:p w14:paraId="4176277C">
      <w:pPr>
        <w:pStyle w:val="13"/>
        <w:spacing w:before="174"/>
        <w:ind w:firstLine="480"/>
        <w:rPr>
          <w:rFonts w:hint="default" w:ascii="Times New Roman" w:hAnsi="Times New Roman"/>
        </w:rPr>
      </w:pPr>
      <w:r>
        <w:rPr>
          <w:rFonts w:ascii="Times New Roman" w:hAnsi="Times New Roman"/>
        </w:rPr>
        <w:t>八、免除知情同意书签字</w:t>
      </w:r>
    </w:p>
    <w:p w14:paraId="2B68E4BE">
      <w:pPr>
        <w:pStyle w:val="19"/>
        <w:spacing w:line="440" w:lineRule="exact"/>
        <w:ind w:firstLine="420" w:firstLineChars="200"/>
        <w:jc w:val="left"/>
        <w:rPr>
          <w:rFonts w:ascii="Times New Roman" w:hAnsi="Times New Roman"/>
        </w:rPr>
      </w:pPr>
      <w:r>
        <w:rPr>
          <w:rFonts w:hint="eastAsia" w:ascii="Times New Roman" w:hAnsi="Times New Roman"/>
        </w:rPr>
        <w:t>以下两种情况可以申请免除知情同意签字。</w:t>
      </w:r>
    </w:p>
    <w:p w14:paraId="3F1CBC11">
      <w:pPr>
        <w:pStyle w:val="19"/>
        <w:spacing w:line="440" w:lineRule="exact"/>
        <w:ind w:firstLine="420" w:firstLineChars="200"/>
        <w:jc w:val="left"/>
        <w:rPr>
          <w:rFonts w:ascii="Times New Roman" w:hAnsi="Times New Roman"/>
        </w:rPr>
      </w:pPr>
      <w:r>
        <w:rPr>
          <w:rFonts w:ascii="Times New Roman" w:hAnsi="Times New Roman"/>
        </w:rPr>
        <w:t>1.</w:t>
      </w:r>
      <w:r>
        <w:rPr>
          <w:rFonts w:hint="eastAsia" w:ascii="Times New Roman" w:hAnsi="Times New Roman"/>
        </w:rPr>
        <w:t>当一份签了字的知情同意书会对受试者的隐私构成不正当的威胁，联系受试者真实身份和研究的唯一记录是知情同意文件，并且主要风险就</w:t>
      </w:r>
      <w:r>
        <w:rPr>
          <w:rFonts w:hint="eastAsia" w:ascii="Times New Roman" w:hAnsi="Times New Roman"/>
          <w:lang w:eastAsia="zh-CN"/>
        </w:rPr>
        <w:t>来自</w:t>
      </w:r>
      <w:r>
        <w:rPr>
          <w:rFonts w:hint="eastAsia" w:ascii="Times New Roman" w:hAnsi="Times New Roman"/>
        </w:rPr>
        <w:t>受试者身份或个人隐私的泄露。在这种情况下，应该遵循每一位受试者本人的意愿是否签署书面知情同意文件。</w:t>
      </w:r>
    </w:p>
    <w:p w14:paraId="704974B4">
      <w:pPr>
        <w:pStyle w:val="19"/>
        <w:spacing w:line="440" w:lineRule="exact"/>
        <w:ind w:firstLine="420" w:firstLineChars="200"/>
        <w:jc w:val="left"/>
        <w:rPr>
          <w:rFonts w:ascii="Times New Roman" w:hAnsi="Times New Roman"/>
        </w:rPr>
      </w:pPr>
      <w:r>
        <w:rPr>
          <w:rFonts w:ascii="Times New Roman" w:hAnsi="Times New Roman"/>
        </w:rPr>
        <w:t>2.</w:t>
      </w:r>
      <w:r>
        <w:rPr>
          <w:rFonts w:hint="eastAsia" w:ascii="Times New Roman" w:hAnsi="Times New Roman"/>
        </w:rPr>
        <w:t>研究对受试者的风险不大于最小风险，并且如果脱离“研究”背景，相同情况下的行为或程序不要求签署知情同意。例如，访谈研究，邮件</w:t>
      </w:r>
      <w:r>
        <w:rPr>
          <w:rFonts w:ascii="Times New Roman" w:hAnsi="Times New Roman"/>
        </w:rPr>
        <w:t>/</w:t>
      </w:r>
      <w:r>
        <w:rPr>
          <w:rFonts w:hint="eastAsia" w:ascii="Times New Roman" w:hAnsi="Times New Roman"/>
        </w:rPr>
        <w:t>电话调查等。</w:t>
      </w:r>
    </w:p>
    <w:p w14:paraId="2DF694EE">
      <w:pPr>
        <w:pStyle w:val="19"/>
        <w:spacing w:line="440" w:lineRule="exact"/>
        <w:ind w:firstLine="420" w:firstLineChars="200"/>
        <w:jc w:val="left"/>
        <w:rPr>
          <w:rFonts w:ascii="Times New Roman" w:hAnsi="Times New Roman"/>
        </w:rPr>
      </w:pPr>
      <w:r>
        <w:rPr>
          <w:rFonts w:hint="eastAsia" w:ascii="Times New Roman" w:hAnsi="Times New Roman"/>
        </w:rPr>
        <w:t>对于批准免除签署知情同意文件的研究项目，伦理委员会可以要求研究者向受试者提供书面告知信息。</w:t>
      </w:r>
    </w:p>
    <w:p w14:paraId="5886D24E">
      <w:pPr>
        <w:pStyle w:val="13"/>
        <w:spacing w:before="174"/>
        <w:ind w:firstLine="480"/>
        <w:rPr>
          <w:rFonts w:hint="default" w:ascii="Times New Roman" w:hAnsi="Times New Roman"/>
        </w:rPr>
      </w:pPr>
      <w:r>
        <w:rPr>
          <w:rFonts w:ascii="Times New Roman" w:hAnsi="Times New Roman"/>
        </w:rPr>
        <w:t>九、联系方式</w:t>
      </w:r>
    </w:p>
    <w:p w14:paraId="4B77ED55">
      <w:pPr>
        <w:pStyle w:val="19"/>
        <w:spacing w:line="440" w:lineRule="exact"/>
        <w:ind w:firstLine="420" w:firstLineChars="200"/>
        <w:jc w:val="left"/>
        <w:rPr>
          <w:rFonts w:hint="default" w:ascii="Times New Roman" w:hAnsi="Times New Roman" w:eastAsia="宋体"/>
          <w:highlight w:val="none"/>
          <w:lang w:val="en-US" w:eastAsia="zh-CN"/>
        </w:rPr>
      </w:pPr>
      <w:r>
        <w:rPr>
          <w:rFonts w:hint="eastAsia" w:ascii="Times New Roman" w:hAnsi="Times New Roman"/>
          <w:highlight w:val="none"/>
        </w:rPr>
        <w:t>GCP伦理委员会办公室电话：0851-27</w:t>
      </w:r>
      <w:r>
        <w:rPr>
          <w:rFonts w:ascii="Times New Roman" w:hAnsi="Times New Roman"/>
          <w:highlight w:val="none"/>
        </w:rPr>
        <w:t>59</w:t>
      </w:r>
      <w:r>
        <w:rPr>
          <w:rFonts w:hint="eastAsia" w:ascii="Times New Roman" w:hAnsi="Times New Roman"/>
          <w:highlight w:val="none"/>
          <w:lang w:val="en-US" w:eastAsia="zh-CN"/>
        </w:rPr>
        <w:t>6549</w:t>
      </w:r>
    </w:p>
    <w:p w14:paraId="2FCAB0D0">
      <w:pPr>
        <w:pStyle w:val="19"/>
        <w:spacing w:line="440" w:lineRule="exact"/>
        <w:ind w:firstLine="420" w:firstLineChars="200"/>
        <w:jc w:val="left"/>
        <w:rPr>
          <w:rFonts w:ascii="Times New Roman" w:hAnsi="Times New Roman"/>
          <w:highlight w:val="none"/>
        </w:rPr>
      </w:pPr>
      <w:r>
        <w:rPr>
          <w:rFonts w:hint="eastAsia" w:ascii="Times New Roman" w:hAnsi="Times New Roman"/>
          <w:highlight w:val="none"/>
        </w:rPr>
        <w:t>联系人：</w:t>
      </w:r>
      <w:r>
        <w:rPr>
          <w:rFonts w:hint="eastAsia" w:ascii="Times New Roman" w:hAnsi="Times New Roman"/>
          <w:highlight w:val="none"/>
          <w:lang w:val="en-US" w:eastAsia="zh-CN"/>
        </w:rPr>
        <w:t>张叶</w:t>
      </w:r>
      <w:r>
        <w:rPr>
          <w:rFonts w:hint="eastAsia" w:ascii="Times New Roman" w:hAnsi="Times New Roman"/>
          <w:highlight w:val="none"/>
        </w:rPr>
        <w:t>老师</w:t>
      </w:r>
    </w:p>
    <w:p w14:paraId="286AE964">
      <w:pPr>
        <w:pStyle w:val="19"/>
        <w:spacing w:line="440" w:lineRule="exact"/>
        <w:ind w:firstLine="420" w:firstLineChars="200"/>
        <w:jc w:val="left"/>
        <w:rPr>
          <w:rFonts w:ascii="Times New Roman" w:hAnsi="Times New Roman"/>
        </w:rPr>
      </w:pPr>
      <w:r>
        <w:rPr>
          <w:rFonts w:ascii="Times New Roman" w:hAnsi="Times New Roman"/>
        </w:rPr>
        <w:t>Email</w:t>
      </w:r>
      <w:r>
        <w:rPr>
          <w:rFonts w:hint="eastAsia" w:ascii="Times New Roman" w:hAnsi="Times New Roman"/>
          <w:lang w:eastAsia="zh-CN"/>
        </w:rPr>
        <w:t>：</w:t>
      </w:r>
      <w:r>
        <w:rPr>
          <w:rFonts w:hint="eastAsia" w:ascii="Times New Roman" w:hAnsi="Times New Roman"/>
          <w:szCs w:val="21"/>
        </w:rPr>
        <w:t>zyefyGCP_EC@</w:t>
      </w:r>
      <w:r>
        <w:rPr>
          <w:rFonts w:ascii="Times New Roman" w:hAnsi="Times New Roman"/>
          <w:szCs w:val="21"/>
        </w:rPr>
        <w:t>163.com</w:t>
      </w:r>
    </w:p>
    <w:p w14:paraId="3F863F60">
      <w:pPr>
        <w:spacing w:line="440" w:lineRule="exact"/>
        <w:ind w:firstLine="420" w:firstLineChars="200"/>
        <w:rPr>
          <w:rFonts w:ascii="Times New Roman" w:hAnsi="Times New Roman"/>
          <w:szCs w:val="21"/>
        </w:rPr>
      </w:pPr>
      <w:r>
        <w:rPr>
          <w:rFonts w:hint="eastAsia" w:ascii="Times New Roman" w:hAnsi="Times New Roman"/>
          <w:szCs w:val="21"/>
        </w:rPr>
        <w:t>地址：遵义市新蒲新区新龙大道与新蒲大道交汇处</w:t>
      </w:r>
    </w:p>
    <w:p w14:paraId="14209944">
      <w:pPr>
        <w:spacing w:line="440" w:lineRule="exact"/>
        <w:ind w:firstLine="420" w:firstLineChars="200"/>
        <w:rPr>
          <w:rFonts w:ascii="Times New Roman" w:hAnsi="Times New Roman"/>
          <w:szCs w:val="21"/>
        </w:rPr>
      </w:pPr>
      <w:r>
        <w:rPr>
          <w:rFonts w:hint="eastAsia" w:ascii="Times New Roman" w:hAnsi="Times New Roman"/>
          <w:szCs w:val="21"/>
        </w:rPr>
        <w:t>邮编：563000</w:t>
      </w:r>
    </w:p>
    <w:sectPr>
      <w:headerReference r:id="rId3" w:type="default"/>
      <w:footerReference r:id="rId4" w:type="default"/>
      <w:pgSz w:w="11906" w:h="16838"/>
      <w:pgMar w:top="1440" w:right="1797" w:bottom="1440" w:left="1797" w:header="851" w:footer="992" w:gutter="0"/>
      <w:cols w:space="425" w:num="1"/>
      <w:docGrid w:type="linesAndChar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A5FAC6-A570-4DC1-BAA5-A9A8F4331E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embedRegular r:id="rId2" w:fontKey="{E539967B-054A-4E17-BE5A-AA1C8971648E}"/>
  </w:font>
  <w:font w:name="微软雅黑">
    <w:panose1 w:val="020B0503020204020204"/>
    <w:charset w:val="86"/>
    <w:family w:val="swiss"/>
    <w:pitch w:val="default"/>
    <w:sig w:usb0="80000287" w:usb1="2ACF3C50" w:usb2="00000016" w:usb3="00000000" w:csb0="0004001F" w:csb1="00000000"/>
    <w:embedRegular r:id="rId3" w:fontKey="{74CB52CD-B7FF-4331-93CC-D6419B1E541C}"/>
  </w:font>
  <w:font w:name="仿宋">
    <w:panose1 w:val="02010609060101010101"/>
    <w:charset w:val="86"/>
    <w:family w:val="modern"/>
    <w:pitch w:val="default"/>
    <w:sig w:usb0="800002BF" w:usb1="38CF7CFA" w:usb2="00000016" w:usb3="00000000" w:csb0="00040001" w:csb1="00000000"/>
    <w:embedRegular r:id="rId4" w:fontKey="{046F7F85-2430-4169-BEA3-87207B5392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85F63">
    <w:pPr>
      <w:pStyle w:val="5"/>
      <w:jc w:val="center"/>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6</w:t>
    </w:r>
    <w:r>
      <w:rPr>
        <w:kern w:val="0"/>
        <w:szCs w:val="21"/>
      </w:rPr>
      <w:fldChar w:fldCharType="end"/>
    </w:r>
    <w:r>
      <w:rPr>
        <w:kern w:val="0"/>
        <w:szCs w:val="21"/>
      </w:rPr>
      <w:t xml:space="preserve"> </w:t>
    </w:r>
    <w:r>
      <w:rPr>
        <w:rFonts w:hint="eastAsia"/>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CFAF">
    <w:pPr>
      <w:pStyle w:val="6"/>
      <w:jc w:val="left"/>
    </w:pPr>
    <w:r>
      <w:rPr>
        <w:rFonts w:hint="eastAsia"/>
      </w:rPr>
      <w:t>遵医二附院伦理</w:t>
    </w:r>
    <w:r>
      <w:rPr>
        <w:rFonts w:hint="eastAsia"/>
        <w:lang w:val="en-US" w:eastAsia="zh-CN"/>
      </w:rPr>
      <w:t>审查</w:t>
    </w:r>
    <w:r>
      <w:rPr>
        <w:rFonts w:hint="eastAsia"/>
      </w:rPr>
      <w:t>委员会</w:t>
    </w:r>
    <w:r>
      <w:rPr>
        <w:rFonts w:hint="eastAsia"/>
        <w:lang w:eastAsia="zh-CN"/>
      </w:rPr>
      <w:t>（</w:t>
    </w:r>
    <w:r>
      <w:rPr>
        <w:rFonts w:hint="eastAsia"/>
      </w:rPr>
      <w:t>临床试验</w:t>
    </w:r>
    <w:r>
      <w:rPr>
        <w:rFonts w:hint="eastAsia"/>
        <w:lang w:eastAsia="zh-CN"/>
      </w:rPr>
      <w:t>）</w:t>
    </w:r>
    <w:r>
      <w:t xml:space="preserve">                                </w:t>
    </w:r>
    <w:r>
      <w:rPr>
        <w:rFonts w:hint="eastAsia"/>
      </w:rPr>
      <w:t xml:space="preserve">  伦理审查申请</w:t>
    </w:r>
    <w:r>
      <w:t>/</w:t>
    </w:r>
    <w:r>
      <w:rPr>
        <w:rFonts w:hint="eastAsia"/>
      </w:rPr>
      <w:t>报告指南</w:t>
    </w:r>
    <w:r>
      <w:rPr>
        <w:rFonts w:hint="eastAsia"/>
        <w:szCs w:val="24"/>
      </w:rPr>
      <w:t>（</w:t>
    </w:r>
    <w:r>
      <w:rPr>
        <w:szCs w:val="24"/>
      </w:rPr>
      <w:t>3</w:t>
    </w:r>
    <w:r>
      <w:rPr>
        <w:rFonts w:hint="eastAsia"/>
        <w:szCs w:val="24"/>
      </w:rPr>
      <w:t>.</w:t>
    </w:r>
    <w:r>
      <w:rPr>
        <w:rFonts w:hint="eastAsia"/>
        <w:szCs w:val="24"/>
        <w:lang w:val="en-US" w:eastAsia="zh-CN"/>
      </w:rPr>
      <w:t>2</w:t>
    </w:r>
    <w:r>
      <w:rPr>
        <w:rFonts w:hint="eastAsia"/>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A4920"/>
    <w:multiLevelType w:val="multilevel"/>
    <w:tmpl w:val="177A4920"/>
    <w:lvl w:ilvl="0" w:tentative="0">
      <w:start w:val="1"/>
      <w:numFmt w:val="bullet"/>
      <w:lvlText w:val=""/>
      <w:lvlJc w:val="left"/>
      <w:pPr>
        <w:ind w:left="945" w:hanging="420"/>
      </w:pPr>
      <w:rPr>
        <w:rFonts w:hint="default" w:ascii="Symbol" w:hAnsi="Symbol"/>
        <w:color w:val="auto"/>
        <w:sz w:val="18"/>
      </w:rPr>
    </w:lvl>
    <w:lvl w:ilvl="1" w:tentative="0">
      <w:start w:val="1"/>
      <w:numFmt w:val="bullet"/>
      <w:lvlText w:val=""/>
      <w:lvlJc w:val="left"/>
      <w:pPr>
        <w:ind w:left="1365" w:hanging="420"/>
      </w:pPr>
      <w:rPr>
        <w:rFonts w:hint="default" w:ascii="Wingdings" w:hAnsi="Wingdings"/>
      </w:rPr>
    </w:lvl>
    <w:lvl w:ilvl="2" w:tentative="0">
      <w:start w:val="1"/>
      <w:numFmt w:val="bullet"/>
      <w:lvlText w:val=""/>
      <w:lvlJc w:val="left"/>
      <w:pPr>
        <w:ind w:left="1785" w:hanging="420"/>
      </w:pPr>
      <w:rPr>
        <w:rFonts w:hint="default" w:ascii="Wingdings" w:hAnsi="Wingdings"/>
      </w:rPr>
    </w:lvl>
    <w:lvl w:ilvl="3" w:tentative="0">
      <w:start w:val="1"/>
      <w:numFmt w:val="bullet"/>
      <w:lvlText w:val=""/>
      <w:lvlJc w:val="left"/>
      <w:pPr>
        <w:ind w:left="2205" w:hanging="420"/>
      </w:pPr>
      <w:rPr>
        <w:rFonts w:hint="default" w:ascii="Wingdings" w:hAnsi="Wingdings"/>
      </w:rPr>
    </w:lvl>
    <w:lvl w:ilvl="4" w:tentative="0">
      <w:start w:val="1"/>
      <w:numFmt w:val="bullet"/>
      <w:lvlText w:val=""/>
      <w:lvlJc w:val="left"/>
      <w:pPr>
        <w:ind w:left="2625" w:hanging="420"/>
      </w:pPr>
      <w:rPr>
        <w:rFonts w:hint="default" w:ascii="Wingdings" w:hAnsi="Wingdings"/>
      </w:rPr>
    </w:lvl>
    <w:lvl w:ilvl="5" w:tentative="0">
      <w:start w:val="1"/>
      <w:numFmt w:val="bullet"/>
      <w:lvlText w:val=""/>
      <w:lvlJc w:val="left"/>
      <w:pPr>
        <w:ind w:left="3045" w:hanging="420"/>
      </w:pPr>
      <w:rPr>
        <w:rFonts w:hint="default" w:ascii="Wingdings" w:hAnsi="Wingdings"/>
      </w:rPr>
    </w:lvl>
    <w:lvl w:ilvl="6" w:tentative="0">
      <w:start w:val="1"/>
      <w:numFmt w:val="bullet"/>
      <w:lvlText w:val=""/>
      <w:lvlJc w:val="left"/>
      <w:pPr>
        <w:ind w:left="3465" w:hanging="420"/>
      </w:pPr>
      <w:rPr>
        <w:rFonts w:hint="default" w:ascii="Wingdings" w:hAnsi="Wingdings"/>
      </w:rPr>
    </w:lvl>
    <w:lvl w:ilvl="7" w:tentative="0">
      <w:start w:val="1"/>
      <w:numFmt w:val="bullet"/>
      <w:lvlText w:val=""/>
      <w:lvlJc w:val="left"/>
      <w:pPr>
        <w:ind w:left="3885" w:hanging="420"/>
      </w:pPr>
      <w:rPr>
        <w:rFonts w:hint="default" w:ascii="Wingdings" w:hAnsi="Wingdings"/>
      </w:rPr>
    </w:lvl>
    <w:lvl w:ilvl="8" w:tentative="0">
      <w:start w:val="1"/>
      <w:numFmt w:val="bullet"/>
      <w:lvlText w:val=""/>
      <w:lvlJc w:val="left"/>
      <w:pPr>
        <w:ind w:left="4305" w:hanging="420"/>
      </w:pPr>
      <w:rPr>
        <w:rFonts w:hint="default" w:ascii="Wingdings" w:hAnsi="Wingdings"/>
      </w:rPr>
    </w:lvl>
  </w:abstractNum>
  <w:abstractNum w:abstractNumId="1">
    <w:nsid w:val="3A547987"/>
    <w:multiLevelType w:val="multilevel"/>
    <w:tmpl w:val="3A547987"/>
    <w:lvl w:ilvl="0" w:tentative="0">
      <w:start w:val="1"/>
      <w:numFmt w:val="bullet"/>
      <w:lvlText w:val=""/>
      <w:lvlJc w:val="left"/>
      <w:pPr>
        <w:tabs>
          <w:tab w:val="left" w:pos="1100"/>
        </w:tabs>
        <w:ind w:left="1100" w:hanging="340"/>
      </w:pPr>
      <w:rPr>
        <w:rFonts w:hint="default" w:ascii="Wingdings" w:hAnsi="Wingdings"/>
        <w:color w:val="auto"/>
        <w:sz w:val="18"/>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4B873973"/>
    <w:multiLevelType w:val="multilevel"/>
    <w:tmpl w:val="4B873973"/>
    <w:lvl w:ilvl="0" w:tentative="0">
      <w:start w:val="3"/>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6EB50C7"/>
    <w:multiLevelType w:val="multilevel"/>
    <w:tmpl w:val="56EB50C7"/>
    <w:lvl w:ilvl="0" w:tentative="0">
      <w:start w:val="1"/>
      <w:numFmt w:val="bullet"/>
      <w:lvlText w:val=""/>
      <w:lvlJc w:val="left"/>
      <w:pPr>
        <w:ind w:left="840" w:hanging="420"/>
      </w:pPr>
      <w:rPr>
        <w:rFonts w:hint="default" w:ascii="Symbol" w:hAnsi="Symbol"/>
        <w:color w:val="auto"/>
        <w:sz w:val="18"/>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DC35EF3"/>
    <w:multiLevelType w:val="multilevel"/>
    <w:tmpl w:val="5DC35EF3"/>
    <w:lvl w:ilvl="0" w:tentative="0">
      <w:start w:val="1"/>
      <w:numFmt w:val="bullet"/>
      <w:lvlText w:val=""/>
      <w:lvlJc w:val="left"/>
      <w:pPr>
        <w:ind w:left="840" w:hanging="420"/>
      </w:pPr>
      <w:rPr>
        <w:rFonts w:hint="default" w:ascii="Symbol" w:hAnsi="Symbol"/>
        <w:color w:val="auto"/>
        <w:sz w:val="18"/>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76D51EE7"/>
    <w:multiLevelType w:val="multilevel"/>
    <w:tmpl w:val="76D51EE7"/>
    <w:lvl w:ilvl="0" w:tentative="0">
      <w:start w:val="1"/>
      <w:numFmt w:val="bullet"/>
      <w:lvlText w:val=""/>
      <w:lvlJc w:val="left"/>
      <w:pPr>
        <w:ind w:left="420" w:hanging="420"/>
      </w:pPr>
      <w:rPr>
        <w:rFonts w:hint="default" w:ascii="Symbol" w:hAnsi="Symbol"/>
        <w:color w:val="auto"/>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color w:val="auto"/>
        <w:sz w:val="18"/>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0"/>
  <w:bordersDoNotSurroundFooter w:val="0"/>
  <w:doNotTrackMoves/>
  <w:trackRevisions w:val="1"/>
  <w:documentProtection w:enforcement="0"/>
  <w:defaultTabStop w:val="420"/>
  <w:drawingGridHorizontalSpacing w:val="105"/>
  <w:drawingGridVerticalSpacing w:val="174"/>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lNTk2ZjIwNzg2NGZiYjIzZGI0NTNlMWMyOTlmYWUifQ=="/>
  </w:docVars>
  <w:rsids>
    <w:rsidRoot w:val="00674A9F"/>
    <w:rsid w:val="00005C47"/>
    <w:rsid w:val="00007B40"/>
    <w:rsid w:val="0001024D"/>
    <w:rsid w:val="00011FBA"/>
    <w:rsid w:val="0001653A"/>
    <w:rsid w:val="000165A8"/>
    <w:rsid w:val="00022E71"/>
    <w:rsid w:val="000255AE"/>
    <w:rsid w:val="00033855"/>
    <w:rsid w:val="00035032"/>
    <w:rsid w:val="0004111E"/>
    <w:rsid w:val="00041B7B"/>
    <w:rsid w:val="00041C54"/>
    <w:rsid w:val="000424D7"/>
    <w:rsid w:val="00044647"/>
    <w:rsid w:val="000500EF"/>
    <w:rsid w:val="00055825"/>
    <w:rsid w:val="000608C2"/>
    <w:rsid w:val="00064F42"/>
    <w:rsid w:val="000652D5"/>
    <w:rsid w:val="00065A44"/>
    <w:rsid w:val="000676FB"/>
    <w:rsid w:val="0007601F"/>
    <w:rsid w:val="00080C19"/>
    <w:rsid w:val="0008123D"/>
    <w:rsid w:val="000832CB"/>
    <w:rsid w:val="00083C11"/>
    <w:rsid w:val="00084F43"/>
    <w:rsid w:val="00087076"/>
    <w:rsid w:val="00090F5E"/>
    <w:rsid w:val="00091287"/>
    <w:rsid w:val="00091934"/>
    <w:rsid w:val="00091F65"/>
    <w:rsid w:val="000972FC"/>
    <w:rsid w:val="000A00A2"/>
    <w:rsid w:val="000A0445"/>
    <w:rsid w:val="000A204A"/>
    <w:rsid w:val="000A45A1"/>
    <w:rsid w:val="000A62F5"/>
    <w:rsid w:val="000A6766"/>
    <w:rsid w:val="000A71E4"/>
    <w:rsid w:val="000B3DE7"/>
    <w:rsid w:val="000B5794"/>
    <w:rsid w:val="000B6A0C"/>
    <w:rsid w:val="000C2113"/>
    <w:rsid w:val="000C3AC0"/>
    <w:rsid w:val="000C41D4"/>
    <w:rsid w:val="000C6DC9"/>
    <w:rsid w:val="000C77AB"/>
    <w:rsid w:val="000D445C"/>
    <w:rsid w:val="000D6D10"/>
    <w:rsid w:val="000D6FF5"/>
    <w:rsid w:val="000E00F4"/>
    <w:rsid w:val="000F0B25"/>
    <w:rsid w:val="000F2829"/>
    <w:rsid w:val="000F69BD"/>
    <w:rsid w:val="001017DA"/>
    <w:rsid w:val="0010259D"/>
    <w:rsid w:val="00102E0D"/>
    <w:rsid w:val="00102EBC"/>
    <w:rsid w:val="00102F73"/>
    <w:rsid w:val="001047CA"/>
    <w:rsid w:val="001050DB"/>
    <w:rsid w:val="00105187"/>
    <w:rsid w:val="00105905"/>
    <w:rsid w:val="0011075C"/>
    <w:rsid w:val="00110FB0"/>
    <w:rsid w:val="00114C89"/>
    <w:rsid w:val="00115D68"/>
    <w:rsid w:val="001205BF"/>
    <w:rsid w:val="0012212A"/>
    <w:rsid w:val="00122659"/>
    <w:rsid w:val="00123688"/>
    <w:rsid w:val="00123D39"/>
    <w:rsid w:val="00125209"/>
    <w:rsid w:val="00125C32"/>
    <w:rsid w:val="001275CF"/>
    <w:rsid w:val="00131259"/>
    <w:rsid w:val="00131807"/>
    <w:rsid w:val="00132B84"/>
    <w:rsid w:val="00132F26"/>
    <w:rsid w:val="00132FFF"/>
    <w:rsid w:val="001336A9"/>
    <w:rsid w:val="00134889"/>
    <w:rsid w:val="00137518"/>
    <w:rsid w:val="0014028F"/>
    <w:rsid w:val="001405B5"/>
    <w:rsid w:val="00140C00"/>
    <w:rsid w:val="001469B9"/>
    <w:rsid w:val="001479CD"/>
    <w:rsid w:val="00147A89"/>
    <w:rsid w:val="00150C07"/>
    <w:rsid w:val="0015492E"/>
    <w:rsid w:val="00156D2C"/>
    <w:rsid w:val="00166FCB"/>
    <w:rsid w:val="0017089A"/>
    <w:rsid w:val="0017273D"/>
    <w:rsid w:val="001764E5"/>
    <w:rsid w:val="00180979"/>
    <w:rsid w:val="00181779"/>
    <w:rsid w:val="001820DB"/>
    <w:rsid w:val="00182C4F"/>
    <w:rsid w:val="00186CC5"/>
    <w:rsid w:val="00190E61"/>
    <w:rsid w:val="00191479"/>
    <w:rsid w:val="0019176D"/>
    <w:rsid w:val="00195D76"/>
    <w:rsid w:val="001A13D8"/>
    <w:rsid w:val="001A1BC2"/>
    <w:rsid w:val="001A34C3"/>
    <w:rsid w:val="001A51EB"/>
    <w:rsid w:val="001A540D"/>
    <w:rsid w:val="001A675A"/>
    <w:rsid w:val="001B00CF"/>
    <w:rsid w:val="001B00D2"/>
    <w:rsid w:val="001B0B9F"/>
    <w:rsid w:val="001B1FA0"/>
    <w:rsid w:val="001B419F"/>
    <w:rsid w:val="001B4A2A"/>
    <w:rsid w:val="001C1426"/>
    <w:rsid w:val="001C1914"/>
    <w:rsid w:val="001C3ECA"/>
    <w:rsid w:val="001C482E"/>
    <w:rsid w:val="001D1C88"/>
    <w:rsid w:val="001D2E9F"/>
    <w:rsid w:val="001D7257"/>
    <w:rsid w:val="001D7C6B"/>
    <w:rsid w:val="001E33B9"/>
    <w:rsid w:val="001E6F17"/>
    <w:rsid w:val="001E7F41"/>
    <w:rsid w:val="001F1947"/>
    <w:rsid w:val="001F2975"/>
    <w:rsid w:val="00200F02"/>
    <w:rsid w:val="002035D8"/>
    <w:rsid w:val="00204207"/>
    <w:rsid w:val="00204586"/>
    <w:rsid w:val="00206F05"/>
    <w:rsid w:val="00210994"/>
    <w:rsid w:val="00211706"/>
    <w:rsid w:val="00214689"/>
    <w:rsid w:val="0023770B"/>
    <w:rsid w:val="00241679"/>
    <w:rsid w:val="00243A12"/>
    <w:rsid w:val="0025111D"/>
    <w:rsid w:val="00254A2D"/>
    <w:rsid w:val="00254E9C"/>
    <w:rsid w:val="00261D8B"/>
    <w:rsid w:val="0026689C"/>
    <w:rsid w:val="00267AD2"/>
    <w:rsid w:val="00267DF3"/>
    <w:rsid w:val="002714EC"/>
    <w:rsid w:val="00271B08"/>
    <w:rsid w:val="0027332B"/>
    <w:rsid w:val="00276F5A"/>
    <w:rsid w:val="00277C99"/>
    <w:rsid w:val="00282369"/>
    <w:rsid w:val="00282E18"/>
    <w:rsid w:val="00283996"/>
    <w:rsid w:val="00283E02"/>
    <w:rsid w:val="002957AF"/>
    <w:rsid w:val="00296467"/>
    <w:rsid w:val="002A16CF"/>
    <w:rsid w:val="002A6C73"/>
    <w:rsid w:val="002B2BF0"/>
    <w:rsid w:val="002B4C6A"/>
    <w:rsid w:val="002C7264"/>
    <w:rsid w:val="002D06BE"/>
    <w:rsid w:val="002D5C65"/>
    <w:rsid w:val="002E5695"/>
    <w:rsid w:val="002E78F9"/>
    <w:rsid w:val="002F0578"/>
    <w:rsid w:val="002F2893"/>
    <w:rsid w:val="002F50BA"/>
    <w:rsid w:val="00301E19"/>
    <w:rsid w:val="00302472"/>
    <w:rsid w:val="00302689"/>
    <w:rsid w:val="003109D5"/>
    <w:rsid w:val="00311270"/>
    <w:rsid w:val="003131FD"/>
    <w:rsid w:val="0031658E"/>
    <w:rsid w:val="003169F6"/>
    <w:rsid w:val="0032288F"/>
    <w:rsid w:val="003233AF"/>
    <w:rsid w:val="003263BB"/>
    <w:rsid w:val="00332AB0"/>
    <w:rsid w:val="00334C7C"/>
    <w:rsid w:val="00335532"/>
    <w:rsid w:val="003414CB"/>
    <w:rsid w:val="00347800"/>
    <w:rsid w:val="003500F0"/>
    <w:rsid w:val="00351325"/>
    <w:rsid w:val="003603E8"/>
    <w:rsid w:val="003641B3"/>
    <w:rsid w:val="003673C7"/>
    <w:rsid w:val="003752DF"/>
    <w:rsid w:val="00387931"/>
    <w:rsid w:val="00391132"/>
    <w:rsid w:val="0039764C"/>
    <w:rsid w:val="003A0A21"/>
    <w:rsid w:val="003A0B60"/>
    <w:rsid w:val="003A4E47"/>
    <w:rsid w:val="003B2BD9"/>
    <w:rsid w:val="003B3654"/>
    <w:rsid w:val="003B37F4"/>
    <w:rsid w:val="003B6AB3"/>
    <w:rsid w:val="003C0E93"/>
    <w:rsid w:val="003C477C"/>
    <w:rsid w:val="003C5D02"/>
    <w:rsid w:val="003C605A"/>
    <w:rsid w:val="003D05C8"/>
    <w:rsid w:val="003D604A"/>
    <w:rsid w:val="003D63E9"/>
    <w:rsid w:val="003E2820"/>
    <w:rsid w:val="003E3AE5"/>
    <w:rsid w:val="003E45ED"/>
    <w:rsid w:val="003F51A3"/>
    <w:rsid w:val="0040456F"/>
    <w:rsid w:val="00406A42"/>
    <w:rsid w:val="00406CA8"/>
    <w:rsid w:val="00410E6C"/>
    <w:rsid w:val="00422A6A"/>
    <w:rsid w:val="00423A8F"/>
    <w:rsid w:val="00423DD2"/>
    <w:rsid w:val="004247E3"/>
    <w:rsid w:val="0042527E"/>
    <w:rsid w:val="004338E6"/>
    <w:rsid w:val="00435ED8"/>
    <w:rsid w:val="00437B8A"/>
    <w:rsid w:val="00444124"/>
    <w:rsid w:val="0044464C"/>
    <w:rsid w:val="004468B3"/>
    <w:rsid w:val="0045000F"/>
    <w:rsid w:val="00451F0C"/>
    <w:rsid w:val="004679F9"/>
    <w:rsid w:val="00472A78"/>
    <w:rsid w:val="004752C8"/>
    <w:rsid w:val="00476A32"/>
    <w:rsid w:val="00476AA7"/>
    <w:rsid w:val="00477A6D"/>
    <w:rsid w:val="00481F26"/>
    <w:rsid w:val="00483147"/>
    <w:rsid w:val="00483458"/>
    <w:rsid w:val="0048731A"/>
    <w:rsid w:val="00493149"/>
    <w:rsid w:val="00494D6D"/>
    <w:rsid w:val="00495A78"/>
    <w:rsid w:val="004A0421"/>
    <w:rsid w:val="004A516A"/>
    <w:rsid w:val="004B0D96"/>
    <w:rsid w:val="004B2269"/>
    <w:rsid w:val="004B35CE"/>
    <w:rsid w:val="004B3A3A"/>
    <w:rsid w:val="004B3E3E"/>
    <w:rsid w:val="004B5C7D"/>
    <w:rsid w:val="004B6A2B"/>
    <w:rsid w:val="004B6CD4"/>
    <w:rsid w:val="004C1887"/>
    <w:rsid w:val="004C284D"/>
    <w:rsid w:val="004C2DCB"/>
    <w:rsid w:val="004C6CA5"/>
    <w:rsid w:val="004D4746"/>
    <w:rsid w:val="004D5490"/>
    <w:rsid w:val="004E0286"/>
    <w:rsid w:val="004E10B2"/>
    <w:rsid w:val="004E2729"/>
    <w:rsid w:val="004E44F2"/>
    <w:rsid w:val="004E51B8"/>
    <w:rsid w:val="004F146C"/>
    <w:rsid w:val="004F2184"/>
    <w:rsid w:val="004F3D20"/>
    <w:rsid w:val="004F5BE8"/>
    <w:rsid w:val="004F6858"/>
    <w:rsid w:val="004F6AB3"/>
    <w:rsid w:val="0050048E"/>
    <w:rsid w:val="00501223"/>
    <w:rsid w:val="00501502"/>
    <w:rsid w:val="0050284B"/>
    <w:rsid w:val="005077AA"/>
    <w:rsid w:val="00512C1D"/>
    <w:rsid w:val="00514E21"/>
    <w:rsid w:val="00522EBA"/>
    <w:rsid w:val="00524644"/>
    <w:rsid w:val="0052608B"/>
    <w:rsid w:val="00527F54"/>
    <w:rsid w:val="00530DA7"/>
    <w:rsid w:val="005329B4"/>
    <w:rsid w:val="00540CCE"/>
    <w:rsid w:val="00540F4C"/>
    <w:rsid w:val="0054245A"/>
    <w:rsid w:val="005472E5"/>
    <w:rsid w:val="00552DCC"/>
    <w:rsid w:val="0055522C"/>
    <w:rsid w:val="0055542D"/>
    <w:rsid w:val="0057076A"/>
    <w:rsid w:val="0057529A"/>
    <w:rsid w:val="00586BA1"/>
    <w:rsid w:val="0059334B"/>
    <w:rsid w:val="00597D1B"/>
    <w:rsid w:val="005A5ED1"/>
    <w:rsid w:val="005B32DD"/>
    <w:rsid w:val="005C015C"/>
    <w:rsid w:val="005C037F"/>
    <w:rsid w:val="005C39F7"/>
    <w:rsid w:val="005C6630"/>
    <w:rsid w:val="005C757A"/>
    <w:rsid w:val="005C7E27"/>
    <w:rsid w:val="005D4A29"/>
    <w:rsid w:val="005D523C"/>
    <w:rsid w:val="005D5C18"/>
    <w:rsid w:val="005D657B"/>
    <w:rsid w:val="005E046D"/>
    <w:rsid w:val="005E284F"/>
    <w:rsid w:val="005E527F"/>
    <w:rsid w:val="005E577D"/>
    <w:rsid w:val="005F0955"/>
    <w:rsid w:val="005F5AC1"/>
    <w:rsid w:val="005F7F03"/>
    <w:rsid w:val="006040F6"/>
    <w:rsid w:val="00606386"/>
    <w:rsid w:val="00612A9F"/>
    <w:rsid w:val="00614A82"/>
    <w:rsid w:val="0061564C"/>
    <w:rsid w:val="0062055C"/>
    <w:rsid w:val="00622099"/>
    <w:rsid w:val="0062282C"/>
    <w:rsid w:val="00624410"/>
    <w:rsid w:val="00626367"/>
    <w:rsid w:val="006338DD"/>
    <w:rsid w:val="00634844"/>
    <w:rsid w:val="00635070"/>
    <w:rsid w:val="00636830"/>
    <w:rsid w:val="00636A67"/>
    <w:rsid w:val="00637226"/>
    <w:rsid w:val="006419AB"/>
    <w:rsid w:val="00642926"/>
    <w:rsid w:val="00642E89"/>
    <w:rsid w:val="00642ED0"/>
    <w:rsid w:val="006473CD"/>
    <w:rsid w:val="006473FD"/>
    <w:rsid w:val="00655262"/>
    <w:rsid w:val="00655933"/>
    <w:rsid w:val="006564D7"/>
    <w:rsid w:val="006602A1"/>
    <w:rsid w:val="00666BEC"/>
    <w:rsid w:val="006673FA"/>
    <w:rsid w:val="00672B83"/>
    <w:rsid w:val="00674A9F"/>
    <w:rsid w:val="00676ED6"/>
    <w:rsid w:val="00677773"/>
    <w:rsid w:val="006803F3"/>
    <w:rsid w:val="00680619"/>
    <w:rsid w:val="00680BC8"/>
    <w:rsid w:val="006817FB"/>
    <w:rsid w:val="006853E3"/>
    <w:rsid w:val="00692939"/>
    <w:rsid w:val="00693BC6"/>
    <w:rsid w:val="006953DD"/>
    <w:rsid w:val="00696EDA"/>
    <w:rsid w:val="006A1C33"/>
    <w:rsid w:val="006A26BA"/>
    <w:rsid w:val="006B0989"/>
    <w:rsid w:val="006B0F9B"/>
    <w:rsid w:val="006B5E76"/>
    <w:rsid w:val="006C1A12"/>
    <w:rsid w:val="006C3A7F"/>
    <w:rsid w:val="006C3EF0"/>
    <w:rsid w:val="006C7745"/>
    <w:rsid w:val="006E0E2A"/>
    <w:rsid w:val="006F08FF"/>
    <w:rsid w:val="006F6841"/>
    <w:rsid w:val="006F77CD"/>
    <w:rsid w:val="006F7A0B"/>
    <w:rsid w:val="0070359C"/>
    <w:rsid w:val="007051BE"/>
    <w:rsid w:val="0070577E"/>
    <w:rsid w:val="00705F37"/>
    <w:rsid w:val="00706778"/>
    <w:rsid w:val="0071115F"/>
    <w:rsid w:val="007138F9"/>
    <w:rsid w:val="0072026F"/>
    <w:rsid w:val="0072054D"/>
    <w:rsid w:val="00720838"/>
    <w:rsid w:val="00720C0C"/>
    <w:rsid w:val="007230A4"/>
    <w:rsid w:val="00723E0B"/>
    <w:rsid w:val="00732520"/>
    <w:rsid w:val="007325FB"/>
    <w:rsid w:val="00744600"/>
    <w:rsid w:val="007520EE"/>
    <w:rsid w:val="0075696B"/>
    <w:rsid w:val="00757338"/>
    <w:rsid w:val="007711DE"/>
    <w:rsid w:val="007814AA"/>
    <w:rsid w:val="00785DD1"/>
    <w:rsid w:val="0078697D"/>
    <w:rsid w:val="0079218E"/>
    <w:rsid w:val="007932BD"/>
    <w:rsid w:val="007A1818"/>
    <w:rsid w:val="007A230B"/>
    <w:rsid w:val="007A37E1"/>
    <w:rsid w:val="007B0189"/>
    <w:rsid w:val="007C3869"/>
    <w:rsid w:val="007C4184"/>
    <w:rsid w:val="007C536E"/>
    <w:rsid w:val="007D0643"/>
    <w:rsid w:val="007D0FD4"/>
    <w:rsid w:val="007D3D9C"/>
    <w:rsid w:val="007D592E"/>
    <w:rsid w:val="007E0D05"/>
    <w:rsid w:val="007E2720"/>
    <w:rsid w:val="007E3E46"/>
    <w:rsid w:val="007E5C42"/>
    <w:rsid w:val="007E6C1E"/>
    <w:rsid w:val="007F346C"/>
    <w:rsid w:val="00803D8D"/>
    <w:rsid w:val="0080602F"/>
    <w:rsid w:val="0080656D"/>
    <w:rsid w:val="00812B79"/>
    <w:rsid w:val="00815801"/>
    <w:rsid w:val="00817BA8"/>
    <w:rsid w:val="008221E2"/>
    <w:rsid w:val="008235C9"/>
    <w:rsid w:val="00823DBF"/>
    <w:rsid w:val="00827096"/>
    <w:rsid w:val="0082770E"/>
    <w:rsid w:val="00833B4C"/>
    <w:rsid w:val="00834C9E"/>
    <w:rsid w:val="00835885"/>
    <w:rsid w:val="00835A69"/>
    <w:rsid w:val="0084070C"/>
    <w:rsid w:val="00842216"/>
    <w:rsid w:val="0084432C"/>
    <w:rsid w:val="00847294"/>
    <w:rsid w:val="00856B24"/>
    <w:rsid w:val="00866466"/>
    <w:rsid w:val="008702AA"/>
    <w:rsid w:val="00872B58"/>
    <w:rsid w:val="00876808"/>
    <w:rsid w:val="00882BD3"/>
    <w:rsid w:val="00883C30"/>
    <w:rsid w:val="00885BF3"/>
    <w:rsid w:val="00887871"/>
    <w:rsid w:val="00890484"/>
    <w:rsid w:val="008942EC"/>
    <w:rsid w:val="008A1420"/>
    <w:rsid w:val="008A19AC"/>
    <w:rsid w:val="008A2860"/>
    <w:rsid w:val="008A3D14"/>
    <w:rsid w:val="008A537D"/>
    <w:rsid w:val="008A58CB"/>
    <w:rsid w:val="008B1257"/>
    <w:rsid w:val="008B2342"/>
    <w:rsid w:val="008B7394"/>
    <w:rsid w:val="008C06BB"/>
    <w:rsid w:val="008C58D8"/>
    <w:rsid w:val="008C5D29"/>
    <w:rsid w:val="008C6EE3"/>
    <w:rsid w:val="008C7C4C"/>
    <w:rsid w:val="008D47A0"/>
    <w:rsid w:val="008D6127"/>
    <w:rsid w:val="008D6C5F"/>
    <w:rsid w:val="008D7B09"/>
    <w:rsid w:val="008E37FD"/>
    <w:rsid w:val="008E72ED"/>
    <w:rsid w:val="008F0980"/>
    <w:rsid w:val="008F4AC8"/>
    <w:rsid w:val="00900F46"/>
    <w:rsid w:val="009011AF"/>
    <w:rsid w:val="00901C13"/>
    <w:rsid w:val="00903DAD"/>
    <w:rsid w:val="00915229"/>
    <w:rsid w:val="00916079"/>
    <w:rsid w:val="009178F7"/>
    <w:rsid w:val="00922DBE"/>
    <w:rsid w:val="009235A1"/>
    <w:rsid w:val="0092664B"/>
    <w:rsid w:val="00933B6E"/>
    <w:rsid w:val="00934530"/>
    <w:rsid w:val="0093523B"/>
    <w:rsid w:val="00937897"/>
    <w:rsid w:val="00937A6E"/>
    <w:rsid w:val="00940531"/>
    <w:rsid w:val="009410FA"/>
    <w:rsid w:val="00941CAD"/>
    <w:rsid w:val="00943AEB"/>
    <w:rsid w:val="00943DB5"/>
    <w:rsid w:val="009478F5"/>
    <w:rsid w:val="00952398"/>
    <w:rsid w:val="009529A9"/>
    <w:rsid w:val="00952B89"/>
    <w:rsid w:val="00957594"/>
    <w:rsid w:val="0096032E"/>
    <w:rsid w:val="00960E89"/>
    <w:rsid w:val="00962009"/>
    <w:rsid w:val="00962FFC"/>
    <w:rsid w:val="00967831"/>
    <w:rsid w:val="00974008"/>
    <w:rsid w:val="0097762E"/>
    <w:rsid w:val="00982019"/>
    <w:rsid w:val="00983D11"/>
    <w:rsid w:val="0098546D"/>
    <w:rsid w:val="00986AE0"/>
    <w:rsid w:val="009914C3"/>
    <w:rsid w:val="00991CE8"/>
    <w:rsid w:val="00997B85"/>
    <w:rsid w:val="009A410A"/>
    <w:rsid w:val="009A5C5A"/>
    <w:rsid w:val="009B7AA9"/>
    <w:rsid w:val="009C1646"/>
    <w:rsid w:val="009C2377"/>
    <w:rsid w:val="009D00FC"/>
    <w:rsid w:val="009D1994"/>
    <w:rsid w:val="009D200D"/>
    <w:rsid w:val="009D2430"/>
    <w:rsid w:val="009D4492"/>
    <w:rsid w:val="009D69CC"/>
    <w:rsid w:val="009E17C4"/>
    <w:rsid w:val="009E438B"/>
    <w:rsid w:val="009E793E"/>
    <w:rsid w:val="009F53FB"/>
    <w:rsid w:val="009F585F"/>
    <w:rsid w:val="009F5E42"/>
    <w:rsid w:val="009F6FD1"/>
    <w:rsid w:val="00A01FDE"/>
    <w:rsid w:val="00A02F0E"/>
    <w:rsid w:val="00A032A5"/>
    <w:rsid w:val="00A03FB3"/>
    <w:rsid w:val="00A05351"/>
    <w:rsid w:val="00A17869"/>
    <w:rsid w:val="00A20608"/>
    <w:rsid w:val="00A22E5C"/>
    <w:rsid w:val="00A2535D"/>
    <w:rsid w:val="00A25562"/>
    <w:rsid w:val="00A25A40"/>
    <w:rsid w:val="00A3157E"/>
    <w:rsid w:val="00A37256"/>
    <w:rsid w:val="00A41375"/>
    <w:rsid w:val="00A41B08"/>
    <w:rsid w:val="00A4292E"/>
    <w:rsid w:val="00A42F8D"/>
    <w:rsid w:val="00A452F6"/>
    <w:rsid w:val="00A462BA"/>
    <w:rsid w:val="00A506CE"/>
    <w:rsid w:val="00A53208"/>
    <w:rsid w:val="00A57C5D"/>
    <w:rsid w:val="00A7229F"/>
    <w:rsid w:val="00A73BE7"/>
    <w:rsid w:val="00A74883"/>
    <w:rsid w:val="00A748B0"/>
    <w:rsid w:val="00A80342"/>
    <w:rsid w:val="00A815DE"/>
    <w:rsid w:val="00A82E36"/>
    <w:rsid w:val="00A83B5A"/>
    <w:rsid w:val="00A85CB3"/>
    <w:rsid w:val="00A92262"/>
    <w:rsid w:val="00A9464E"/>
    <w:rsid w:val="00AA5EC6"/>
    <w:rsid w:val="00AC014B"/>
    <w:rsid w:val="00AC25B1"/>
    <w:rsid w:val="00AC374F"/>
    <w:rsid w:val="00AD468E"/>
    <w:rsid w:val="00AD712E"/>
    <w:rsid w:val="00AE3ADE"/>
    <w:rsid w:val="00AE5973"/>
    <w:rsid w:val="00AE7826"/>
    <w:rsid w:val="00AF1F78"/>
    <w:rsid w:val="00AF3A0A"/>
    <w:rsid w:val="00B037BE"/>
    <w:rsid w:val="00B03D56"/>
    <w:rsid w:val="00B04E17"/>
    <w:rsid w:val="00B07867"/>
    <w:rsid w:val="00B12B93"/>
    <w:rsid w:val="00B159EF"/>
    <w:rsid w:val="00B16196"/>
    <w:rsid w:val="00B179B8"/>
    <w:rsid w:val="00B21C94"/>
    <w:rsid w:val="00B21F12"/>
    <w:rsid w:val="00B27698"/>
    <w:rsid w:val="00B30A05"/>
    <w:rsid w:val="00B3522D"/>
    <w:rsid w:val="00B3767A"/>
    <w:rsid w:val="00B41D23"/>
    <w:rsid w:val="00B44EE3"/>
    <w:rsid w:val="00B52FC3"/>
    <w:rsid w:val="00B55780"/>
    <w:rsid w:val="00B565A8"/>
    <w:rsid w:val="00B573C0"/>
    <w:rsid w:val="00B57445"/>
    <w:rsid w:val="00B62D83"/>
    <w:rsid w:val="00B6311F"/>
    <w:rsid w:val="00B64849"/>
    <w:rsid w:val="00B649AB"/>
    <w:rsid w:val="00B775DF"/>
    <w:rsid w:val="00B77BB9"/>
    <w:rsid w:val="00B848FA"/>
    <w:rsid w:val="00B90414"/>
    <w:rsid w:val="00B91B02"/>
    <w:rsid w:val="00B931C7"/>
    <w:rsid w:val="00B93B5E"/>
    <w:rsid w:val="00BA3F9B"/>
    <w:rsid w:val="00BA469C"/>
    <w:rsid w:val="00BB010B"/>
    <w:rsid w:val="00BB590B"/>
    <w:rsid w:val="00BB6830"/>
    <w:rsid w:val="00BC24D9"/>
    <w:rsid w:val="00BC29A4"/>
    <w:rsid w:val="00BC36F7"/>
    <w:rsid w:val="00BC5C41"/>
    <w:rsid w:val="00BD298A"/>
    <w:rsid w:val="00BD40F6"/>
    <w:rsid w:val="00BD5FC9"/>
    <w:rsid w:val="00BE0CCE"/>
    <w:rsid w:val="00BF0A2E"/>
    <w:rsid w:val="00BF0A94"/>
    <w:rsid w:val="00BF16C3"/>
    <w:rsid w:val="00BF1BB3"/>
    <w:rsid w:val="00BF4B8F"/>
    <w:rsid w:val="00BF4C83"/>
    <w:rsid w:val="00C0142F"/>
    <w:rsid w:val="00C10112"/>
    <w:rsid w:val="00C10B2B"/>
    <w:rsid w:val="00C16B35"/>
    <w:rsid w:val="00C1792A"/>
    <w:rsid w:val="00C21564"/>
    <w:rsid w:val="00C2331E"/>
    <w:rsid w:val="00C2403C"/>
    <w:rsid w:val="00C240EF"/>
    <w:rsid w:val="00C245C6"/>
    <w:rsid w:val="00C258BA"/>
    <w:rsid w:val="00C31572"/>
    <w:rsid w:val="00C33BCB"/>
    <w:rsid w:val="00C430AA"/>
    <w:rsid w:val="00C44FD4"/>
    <w:rsid w:val="00C47BF4"/>
    <w:rsid w:val="00C56747"/>
    <w:rsid w:val="00C56A8F"/>
    <w:rsid w:val="00C56F61"/>
    <w:rsid w:val="00C62975"/>
    <w:rsid w:val="00C649F8"/>
    <w:rsid w:val="00C65065"/>
    <w:rsid w:val="00C73C4C"/>
    <w:rsid w:val="00C7408C"/>
    <w:rsid w:val="00C74B8B"/>
    <w:rsid w:val="00C81A37"/>
    <w:rsid w:val="00C83328"/>
    <w:rsid w:val="00C86EEA"/>
    <w:rsid w:val="00C93FDA"/>
    <w:rsid w:val="00CA3ACE"/>
    <w:rsid w:val="00CA531A"/>
    <w:rsid w:val="00CA7890"/>
    <w:rsid w:val="00CB5882"/>
    <w:rsid w:val="00CB64EC"/>
    <w:rsid w:val="00CB7D18"/>
    <w:rsid w:val="00CC0203"/>
    <w:rsid w:val="00CC2457"/>
    <w:rsid w:val="00CD2083"/>
    <w:rsid w:val="00CD22F1"/>
    <w:rsid w:val="00CD65D7"/>
    <w:rsid w:val="00CE23FC"/>
    <w:rsid w:val="00CE25A2"/>
    <w:rsid w:val="00CE3078"/>
    <w:rsid w:val="00CE417C"/>
    <w:rsid w:val="00CE4FB4"/>
    <w:rsid w:val="00CF1027"/>
    <w:rsid w:val="00CF3CDD"/>
    <w:rsid w:val="00D02BD1"/>
    <w:rsid w:val="00D04C90"/>
    <w:rsid w:val="00D0598F"/>
    <w:rsid w:val="00D06C24"/>
    <w:rsid w:val="00D075EF"/>
    <w:rsid w:val="00D07709"/>
    <w:rsid w:val="00D07C6E"/>
    <w:rsid w:val="00D10D99"/>
    <w:rsid w:val="00D11C28"/>
    <w:rsid w:val="00D11FDF"/>
    <w:rsid w:val="00D1395E"/>
    <w:rsid w:val="00D13EDE"/>
    <w:rsid w:val="00D14B4B"/>
    <w:rsid w:val="00D154E9"/>
    <w:rsid w:val="00D16111"/>
    <w:rsid w:val="00D1657A"/>
    <w:rsid w:val="00D2051C"/>
    <w:rsid w:val="00D236A5"/>
    <w:rsid w:val="00D27A3A"/>
    <w:rsid w:val="00D31154"/>
    <w:rsid w:val="00D31976"/>
    <w:rsid w:val="00D33714"/>
    <w:rsid w:val="00D35DF7"/>
    <w:rsid w:val="00D36A5E"/>
    <w:rsid w:val="00D3720A"/>
    <w:rsid w:val="00D400CC"/>
    <w:rsid w:val="00D40FEE"/>
    <w:rsid w:val="00D43806"/>
    <w:rsid w:val="00D43E69"/>
    <w:rsid w:val="00D4472A"/>
    <w:rsid w:val="00D5354E"/>
    <w:rsid w:val="00D55405"/>
    <w:rsid w:val="00D56883"/>
    <w:rsid w:val="00D60355"/>
    <w:rsid w:val="00D60C8A"/>
    <w:rsid w:val="00D615F8"/>
    <w:rsid w:val="00D62E9D"/>
    <w:rsid w:val="00D63409"/>
    <w:rsid w:val="00D66FA4"/>
    <w:rsid w:val="00D675A2"/>
    <w:rsid w:val="00D70AD0"/>
    <w:rsid w:val="00D733B0"/>
    <w:rsid w:val="00D746DC"/>
    <w:rsid w:val="00D760A7"/>
    <w:rsid w:val="00D7789F"/>
    <w:rsid w:val="00D8541D"/>
    <w:rsid w:val="00D85882"/>
    <w:rsid w:val="00D86856"/>
    <w:rsid w:val="00D90FE4"/>
    <w:rsid w:val="00D92082"/>
    <w:rsid w:val="00D94D3C"/>
    <w:rsid w:val="00D96B9E"/>
    <w:rsid w:val="00DA0AD7"/>
    <w:rsid w:val="00DA3D5F"/>
    <w:rsid w:val="00DA43DE"/>
    <w:rsid w:val="00DA5828"/>
    <w:rsid w:val="00DB02C7"/>
    <w:rsid w:val="00DB6420"/>
    <w:rsid w:val="00DB7214"/>
    <w:rsid w:val="00DC74D8"/>
    <w:rsid w:val="00DD46ED"/>
    <w:rsid w:val="00DD7CDF"/>
    <w:rsid w:val="00DE294E"/>
    <w:rsid w:val="00DE4E65"/>
    <w:rsid w:val="00DE70D2"/>
    <w:rsid w:val="00DE787E"/>
    <w:rsid w:val="00DF0750"/>
    <w:rsid w:val="00DF2974"/>
    <w:rsid w:val="00DF32BA"/>
    <w:rsid w:val="00DF70EA"/>
    <w:rsid w:val="00E00389"/>
    <w:rsid w:val="00E00AEA"/>
    <w:rsid w:val="00E02B66"/>
    <w:rsid w:val="00E04073"/>
    <w:rsid w:val="00E105DB"/>
    <w:rsid w:val="00E10BED"/>
    <w:rsid w:val="00E20931"/>
    <w:rsid w:val="00E21D0B"/>
    <w:rsid w:val="00E26563"/>
    <w:rsid w:val="00E27F60"/>
    <w:rsid w:val="00E30DA9"/>
    <w:rsid w:val="00E31560"/>
    <w:rsid w:val="00E31EC5"/>
    <w:rsid w:val="00E34D70"/>
    <w:rsid w:val="00E36479"/>
    <w:rsid w:val="00E36715"/>
    <w:rsid w:val="00E4430C"/>
    <w:rsid w:val="00E51219"/>
    <w:rsid w:val="00E52A81"/>
    <w:rsid w:val="00E6131B"/>
    <w:rsid w:val="00E61FD9"/>
    <w:rsid w:val="00E6221B"/>
    <w:rsid w:val="00E6338D"/>
    <w:rsid w:val="00E71647"/>
    <w:rsid w:val="00E73D10"/>
    <w:rsid w:val="00E765A1"/>
    <w:rsid w:val="00E816DC"/>
    <w:rsid w:val="00E83040"/>
    <w:rsid w:val="00E844C0"/>
    <w:rsid w:val="00E84C40"/>
    <w:rsid w:val="00E90400"/>
    <w:rsid w:val="00E97825"/>
    <w:rsid w:val="00EA1046"/>
    <w:rsid w:val="00EA1939"/>
    <w:rsid w:val="00EA4537"/>
    <w:rsid w:val="00EA6C7D"/>
    <w:rsid w:val="00EB1C90"/>
    <w:rsid w:val="00EB40E1"/>
    <w:rsid w:val="00EB6725"/>
    <w:rsid w:val="00EB75BB"/>
    <w:rsid w:val="00EC22F9"/>
    <w:rsid w:val="00EC305B"/>
    <w:rsid w:val="00EC79DD"/>
    <w:rsid w:val="00ED33B2"/>
    <w:rsid w:val="00ED46A7"/>
    <w:rsid w:val="00ED7165"/>
    <w:rsid w:val="00ED7519"/>
    <w:rsid w:val="00EE1505"/>
    <w:rsid w:val="00EE48CA"/>
    <w:rsid w:val="00EE67F7"/>
    <w:rsid w:val="00EE6DFD"/>
    <w:rsid w:val="00EF5AC9"/>
    <w:rsid w:val="00EF61B0"/>
    <w:rsid w:val="00F0212A"/>
    <w:rsid w:val="00F03CED"/>
    <w:rsid w:val="00F10454"/>
    <w:rsid w:val="00F16AC7"/>
    <w:rsid w:val="00F21FBC"/>
    <w:rsid w:val="00F22927"/>
    <w:rsid w:val="00F247BA"/>
    <w:rsid w:val="00F27514"/>
    <w:rsid w:val="00F45C4C"/>
    <w:rsid w:val="00F4793E"/>
    <w:rsid w:val="00F60E7D"/>
    <w:rsid w:val="00F61C91"/>
    <w:rsid w:val="00F644AE"/>
    <w:rsid w:val="00F721B8"/>
    <w:rsid w:val="00F73892"/>
    <w:rsid w:val="00F74FCB"/>
    <w:rsid w:val="00F777E0"/>
    <w:rsid w:val="00F777F5"/>
    <w:rsid w:val="00F80279"/>
    <w:rsid w:val="00F8233B"/>
    <w:rsid w:val="00F8697B"/>
    <w:rsid w:val="00F90F65"/>
    <w:rsid w:val="00F95692"/>
    <w:rsid w:val="00F97AF6"/>
    <w:rsid w:val="00FA03B0"/>
    <w:rsid w:val="00FA0EAC"/>
    <w:rsid w:val="00FA4F84"/>
    <w:rsid w:val="00FA68FE"/>
    <w:rsid w:val="00FA7B0E"/>
    <w:rsid w:val="00FB21E0"/>
    <w:rsid w:val="00FB7B14"/>
    <w:rsid w:val="00FC1408"/>
    <w:rsid w:val="00FC1885"/>
    <w:rsid w:val="00FC36B6"/>
    <w:rsid w:val="00FC5366"/>
    <w:rsid w:val="00FC7709"/>
    <w:rsid w:val="00FD05CA"/>
    <w:rsid w:val="00FD54C1"/>
    <w:rsid w:val="00FD62B4"/>
    <w:rsid w:val="00FE0D71"/>
    <w:rsid w:val="00FE205E"/>
    <w:rsid w:val="00FE39DC"/>
    <w:rsid w:val="00FE430B"/>
    <w:rsid w:val="00FE763A"/>
    <w:rsid w:val="00FF142F"/>
    <w:rsid w:val="00FF44AB"/>
    <w:rsid w:val="00FF7302"/>
    <w:rsid w:val="02A50745"/>
    <w:rsid w:val="0EFF2446"/>
    <w:rsid w:val="10BF70C0"/>
    <w:rsid w:val="19C33AE9"/>
    <w:rsid w:val="1B5979EB"/>
    <w:rsid w:val="1D313B9C"/>
    <w:rsid w:val="221D4808"/>
    <w:rsid w:val="34570E05"/>
    <w:rsid w:val="3B6B2A14"/>
    <w:rsid w:val="3BFB2C9E"/>
    <w:rsid w:val="498E259D"/>
    <w:rsid w:val="4CE83C60"/>
    <w:rsid w:val="4D36000E"/>
    <w:rsid w:val="55FF7F66"/>
    <w:rsid w:val="59172E50"/>
    <w:rsid w:val="5E261701"/>
    <w:rsid w:val="65217F93"/>
    <w:rsid w:val="654122DC"/>
    <w:rsid w:val="664629F4"/>
    <w:rsid w:val="738D0E11"/>
    <w:rsid w:val="792161F0"/>
    <w:rsid w:val="7997453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link w:val="14"/>
    <w:autoRedefine/>
    <w:qFormat/>
    <w:uiPriority w:val="99"/>
    <w:pPr>
      <w:ind w:firstLine="420" w:firstLineChars="200"/>
    </w:pPr>
  </w:style>
  <w:style w:type="paragraph" w:styleId="4">
    <w:name w:val="Balloon Text"/>
    <w:basedOn w:val="1"/>
    <w:link w:val="17"/>
    <w:autoRedefine/>
    <w:semiHidden/>
    <w:qFormat/>
    <w:uiPriority w:val="99"/>
    <w:rPr>
      <w:sz w:val="18"/>
      <w:szCs w:val="18"/>
    </w:rPr>
  </w:style>
  <w:style w:type="paragraph" w:styleId="5">
    <w:name w:val="footer"/>
    <w:basedOn w:val="1"/>
    <w:link w:val="16"/>
    <w:autoRedefine/>
    <w:qFormat/>
    <w:uiPriority w:val="99"/>
    <w:pPr>
      <w:tabs>
        <w:tab w:val="center" w:pos="4153"/>
        <w:tab w:val="right" w:pos="8306"/>
      </w:tabs>
      <w:snapToGrid w:val="0"/>
      <w:jc w:val="left"/>
    </w:pPr>
    <w:rPr>
      <w:sz w:val="18"/>
      <w:szCs w:val="18"/>
    </w:rPr>
  </w:style>
  <w:style w:type="paragraph" w:styleId="6">
    <w:name w:val="header"/>
    <w:basedOn w:val="1"/>
    <w:link w:val="15"/>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autoRedefine/>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locked/>
    <w:uiPriority w:val="22"/>
    <w:rPr>
      <w:b/>
      <w:bCs/>
    </w:rPr>
  </w:style>
  <w:style w:type="character" w:styleId="12">
    <w:name w:val="Hyperlink"/>
    <w:autoRedefine/>
    <w:qFormat/>
    <w:uiPriority w:val="99"/>
    <w:rPr>
      <w:rFonts w:cs="Times New Roman"/>
      <w:color w:val="0000FF"/>
      <w:u w:val="single"/>
    </w:rPr>
  </w:style>
  <w:style w:type="paragraph" w:customStyle="1" w:styleId="13">
    <w:name w:val="GCP标题2"/>
    <w:basedOn w:val="1"/>
    <w:autoRedefine/>
    <w:qFormat/>
    <w:uiPriority w:val="0"/>
    <w:pPr>
      <w:spacing w:before="50" w:beforeLines="50" w:line="440" w:lineRule="exact"/>
      <w:ind w:firstLine="420" w:firstLineChars="200"/>
      <w:jc w:val="left"/>
    </w:pPr>
    <w:rPr>
      <w:rFonts w:hint="eastAsia" w:ascii="黑体" w:hAnsi="黑体" w:eastAsia="黑体"/>
      <w:sz w:val="24"/>
      <w:szCs w:val="22"/>
    </w:rPr>
  </w:style>
  <w:style w:type="character" w:customStyle="1" w:styleId="14">
    <w:name w:val="正文文本缩进 字符"/>
    <w:link w:val="3"/>
    <w:autoRedefine/>
    <w:qFormat/>
    <w:locked/>
    <w:uiPriority w:val="99"/>
    <w:rPr>
      <w:rFonts w:cs="Times New Roman"/>
      <w:sz w:val="24"/>
      <w:szCs w:val="24"/>
    </w:rPr>
  </w:style>
  <w:style w:type="character" w:customStyle="1" w:styleId="15">
    <w:name w:val="页眉 字符"/>
    <w:link w:val="6"/>
    <w:autoRedefine/>
    <w:qFormat/>
    <w:locked/>
    <w:uiPriority w:val="99"/>
    <w:rPr>
      <w:rFonts w:cs="Times New Roman"/>
      <w:sz w:val="18"/>
      <w:szCs w:val="18"/>
    </w:rPr>
  </w:style>
  <w:style w:type="character" w:customStyle="1" w:styleId="16">
    <w:name w:val="页脚 字符"/>
    <w:link w:val="5"/>
    <w:autoRedefine/>
    <w:qFormat/>
    <w:locked/>
    <w:uiPriority w:val="99"/>
    <w:rPr>
      <w:rFonts w:cs="Times New Roman"/>
      <w:sz w:val="18"/>
      <w:szCs w:val="18"/>
    </w:rPr>
  </w:style>
  <w:style w:type="character" w:customStyle="1" w:styleId="17">
    <w:name w:val="批注框文本 字符"/>
    <w:link w:val="4"/>
    <w:autoRedefine/>
    <w:semiHidden/>
    <w:qFormat/>
    <w:locked/>
    <w:uiPriority w:val="99"/>
    <w:rPr>
      <w:rFonts w:cs="Times New Roman"/>
      <w:sz w:val="18"/>
      <w:szCs w:val="18"/>
    </w:rPr>
  </w:style>
  <w:style w:type="paragraph" w:styleId="18">
    <w:name w:val="List Paragraph"/>
    <w:basedOn w:val="1"/>
    <w:autoRedefine/>
    <w:qFormat/>
    <w:uiPriority w:val="99"/>
    <w:pPr>
      <w:ind w:firstLine="420" w:firstLineChars="200"/>
    </w:pPr>
  </w:style>
  <w:style w:type="paragraph" w:customStyle="1" w:styleId="19">
    <w:name w:val="无间隔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样式"/>
    <w:autoRedefine/>
    <w:qFormat/>
    <w:uiPriority w:val="99"/>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customStyle="1" w:styleId="21">
    <w:name w:val="Table Paragraph"/>
    <w:basedOn w:val="1"/>
    <w:autoRedefine/>
    <w:qFormat/>
    <w:uiPriority w:val="1"/>
    <w:pPr>
      <w:spacing w:before="170"/>
      <w:ind w:right="95"/>
      <w:jc w:val="center"/>
    </w:pPr>
    <w:rPr>
      <w:rFonts w:ascii="黑体" w:hAnsi="黑体" w:eastAsia="黑体" w:cs="黑体"/>
      <w:lang w:val="zh-CN" w:bidi="zh-CN"/>
    </w:rPr>
  </w:style>
  <w:style w:type="paragraph" w:customStyle="1" w:styleId="22">
    <w:name w:val="GCP标题1"/>
    <w:basedOn w:val="1"/>
    <w:autoRedefine/>
    <w:qFormat/>
    <w:uiPriority w:val="0"/>
    <w:pPr>
      <w:spacing w:before="50" w:beforeLines="50" w:after="50" w:afterLines="50"/>
      <w:jc w:val="center"/>
    </w:pPr>
    <w:rPr>
      <w:rFonts w:hint="eastAsia" w:eastAsia="方正小标宋简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3983</Words>
  <Characters>4211</Characters>
  <Lines>30</Lines>
  <Paragraphs>8</Paragraphs>
  <TotalTime>14</TotalTime>
  <ScaleCrop>false</ScaleCrop>
  <LinksUpToDate>false</LinksUpToDate>
  <CharactersWithSpaces>4227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2012-05-04T13:12:00Z</dcterms:created>
  <dc:creator>张馨</dc:creator>
  <cp:lastModifiedBy>twit</cp:lastModifiedBy>
  <cp:lastPrinted>2024-10-18T10:15:00Z</cp:lastPrinted>
  <dcterms:modified xsi:type="dcterms:W3CDTF">2025-05-21T01:32:49Z</dcterms:modified>
  <cp:revision>451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E8EF0EB51C6B477FB2DBA227F9363237_13</vt:lpwstr>
  </property>
  <property fmtid="{D5CDD505-2E9C-101B-9397-08002B2CF9AE}" pid="4" name="KSOTemplateDocerSaveRecord">
    <vt:lpwstr>eyJoZGlkIjoiZDExMDcxYmM2NmFkYmIyMzJlN2Q0OGQwMjg3ODJkMGYiLCJ1c2VySWQiOiIyNjczMjA1MDUifQ==</vt:lpwstr>
  </property>
</Properties>
</file>